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w:t>
      </w:r>
      <w:r>
        <w:rPr>
          <w:rFonts w:hint="eastAsia" w:ascii="Arial" w:hAnsi="Arial" w:cs="Arial"/>
          <w:b/>
          <w:sz w:val="24"/>
          <w:lang w:val="en-US" w:eastAsia="zh-CN"/>
        </w:rPr>
        <w:t>14</w:t>
      </w:r>
      <w:r>
        <w:rPr>
          <w:rFonts w:ascii="Arial" w:hAnsi="Arial" w:eastAsia="MS Mincho"/>
          <w:b/>
          <w:sz w:val="24"/>
        </w:rPr>
        <w:tab/>
      </w:r>
      <w:r>
        <w:rPr>
          <w:rFonts w:ascii="Arial" w:hAnsi="Arial"/>
          <w:b/>
          <w:sz w:val="24"/>
          <w:lang w:eastAsia="zh-CN"/>
        </w:rPr>
        <w:t>R4-2</w:t>
      </w:r>
      <w:r>
        <w:rPr>
          <w:rFonts w:hint="eastAsia" w:ascii="Arial" w:hAnsi="Arial"/>
          <w:b/>
          <w:sz w:val="24"/>
          <w:lang w:val="en-US" w:eastAsia="zh-CN"/>
        </w:rPr>
        <w:t>500903</w:t>
      </w:r>
      <w:bookmarkStart w:id="1" w:name="_GoBack"/>
      <w:bookmarkEnd w:id="1"/>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Athens, GR, 17th – 21st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5"/>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the core maintenance of SSB-less SCell operation of Network energy saving for NR</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5.27.1</w:t>
      </w:r>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11"/>
        <w:tabs>
          <w:tab w:val="left" w:pos="226"/>
          <w:tab w:val="left" w:pos="284"/>
          <w:tab w:val="left" w:pos="5103"/>
        </w:tabs>
        <w:snapToGrid w:val="0"/>
        <w:spacing w:before="156" w:beforeLines="50"/>
        <w:rPr>
          <w:rFonts w:hint="eastAsia" w:eastAsia="宋体"/>
          <w:szCs w:val="20"/>
          <w:lang w:val="en-US" w:eastAsia="zh-CN"/>
        </w:rPr>
      </w:pPr>
      <w:r>
        <w:rPr>
          <w:rFonts w:eastAsia="宋体"/>
          <w:szCs w:val="20"/>
          <w:lang w:val="en-US" w:eastAsia="zh-CN"/>
        </w:rPr>
        <w:t>In</w:t>
      </w:r>
      <w:r>
        <w:rPr>
          <w:rFonts w:hint="eastAsia" w:eastAsia="宋体"/>
          <w:szCs w:val="20"/>
          <w:lang w:val="en-US" w:eastAsia="zh-CN"/>
        </w:rPr>
        <w:t xml:space="preserve"> RAN4#113 meeting, some discussion around the SSB-less SCell were held and the progress on core part were achieved in [1]. They are summarized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Issue 1-1-1: Neighbour cells on carrier of SSB-less SCell</w:t>
            </w:r>
          </w:p>
          <w:p>
            <w:pPr>
              <w:spacing w:after="120"/>
              <w:rPr>
                <w:b/>
                <w:szCs w:val="24"/>
                <w:lang w:eastAsia="zh-CN"/>
              </w:rPr>
            </w:pPr>
            <w:r>
              <w:rPr>
                <w:b/>
                <w:szCs w:val="24"/>
                <w:lang w:eastAsia="zh-CN"/>
              </w:rPr>
              <w:t>Sub-issue 1: Whether servingCellMO can be present for inter-band SSB-less SCell.</w:t>
            </w:r>
          </w:p>
          <w:p>
            <w:pPr>
              <w:keepNext w:val="0"/>
              <w:keepLines w:val="0"/>
              <w:pageBreakBefore w:val="0"/>
              <w:widowControl w:val="0"/>
              <w:kinsoku/>
              <w:wordWrap/>
              <w:topLinePunct w:val="0"/>
              <w:bidi w:val="0"/>
              <w:snapToGrid w:val="0"/>
              <w:textAlignment w:val="auto"/>
              <w:rPr>
                <w:sz w:val="21"/>
                <w:szCs w:val="21"/>
                <w:highlight w:val="green"/>
                <w:lang w:eastAsia="zh-CN"/>
              </w:rPr>
            </w:pPr>
            <w:r>
              <w:rPr>
                <w:sz w:val="21"/>
                <w:szCs w:val="21"/>
                <w:highlight w:val="green"/>
                <w:lang w:eastAsia="zh-CN"/>
              </w:rPr>
              <w:t>Agreement:</w:t>
            </w:r>
          </w:p>
          <w:p>
            <w:pPr>
              <w:keepNext w:val="0"/>
              <w:keepLines w:val="0"/>
              <w:pageBreakBefore w:val="0"/>
              <w:widowControl w:val="0"/>
              <w:kinsoku/>
              <w:wordWrap/>
              <w:topLinePunct w:val="0"/>
              <w:bidi w:val="0"/>
              <w:snapToGrid w:val="0"/>
              <w:textAlignment w:val="auto"/>
              <w:rPr>
                <w:sz w:val="21"/>
                <w:szCs w:val="21"/>
                <w:highlight w:val="green"/>
                <w:lang w:eastAsia="zh-CN"/>
              </w:rPr>
            </w:pPr>
            <w:r>
              <w:rPr>
                <w:sz w:val="21"/>
                <w:szCs w:val="21"/>
                <w:highlight w:val="green"/>
                <w:lang w:eastAsia="zh-CN"/>
              </w:rPr>
              <w:t xml:space="preserve">RAN4 provide analysis on the categorization of intra-frequency/inter-frequency, whether MG is needed </w:t>
            </w:r>
            <w:r>
              <w:rPr>
                <w:sz w:val="21"/>
                <w:szCs w:val="21"/>
                <w:highlight w:val="green"/>
                <w:u w:val="single"/>
                <w:lang w:eastAsia="zh-CN"/>
              </w:rPr>
              <w:t>and any other aspects (if identified)</w:t>
            </w:r>
            <w:r>
              <w:rPr>
                <w:sz w:val="21"/>
                <w:szCs w:val="21"/>
                <w:highlight w:val="green"/>
                <w:lang w:eastAsia="zh-CN"/>
              </w:rPr>
              <w:t xml:space="preserve"> for following cases:</w:t>
            </w:r>
          </w:p>
          <w:p>
            <w:pPr>
              <w:pStyle w:val="33"/>
              <w:keepNext w:val="0"/>
              <w:keepLines w:val="0"/>
              <w:pageBreakBefore w:val="0"/>
              <w:widowControl w:val="0"/>
              <w:numPr>
                <w:ilvl w:val="0"/>
                <w:numId w:val="6"/>
              </w:numPr>
              <w:kinsoku/>
              <w:wordWrap/>
              <w:topLinePunct w:val="0"/>
              <w:bidi w:val="0"/>
              <w:snapToGrid w:val="0"/>
              <w:ind w:firstLineChars="0"/>
              <w:textAlignment w:val="auto"/>
              <w:rPr>
                <w:szCs w:val="21"/>
                <w:highlight w:val="green"/>
              </w:rPr>
            </w:pPr>
            <w:r>
              <w:rPr>
                <w:szCs w:val="21"/>
                <w:highlight w:val="green"/>
              </w:rPr>
              <w:t>When servingCellMO is configured</w:t>
            </w:r>
          </w:p>
          <w:p>
            <w:pPr>
              <w:pStyle w:val="33"/>
              <w:keepNext w:val="0"/>
              <w:keepLines w:val="0"/>
              <w:pageBreakBefore w:val="0"/>
              <w:widowControl w:val="0"/>
              <w:numPr>
                <w:ilvl w:val="0"/>
                <w:numId w:val="6"/>
              </w:numPr>
              <w:kinsoku/>
              <w:wordWrap/>
              <w:topLinePunct w:val="0"/>
              <w:bidi w:val="0"/>
              <w:snapToGrid w:val="0"/>
              <w:ind w:firstLineChars="0"/>
              <w:textAlignment w:val="auto"/>
              <w:rPr>
                <w:szCs w:val="21"/>
                <w:highlight w:val="green"/>
              </w:rPr>
            </w:pPr>
            <w:r>
              <w:rPr>
                <w:szCs w:val="21"/>
                <w:highlight w:val="green"/>
              </w:rPr>
              <w:t>When servingCellMO is not configured</w:t>
            </w:r>
          </w:p>
          <w:p>
            <w:pPr>
              <w:keepNext w:val="0"/>
              <w:keepLines w:val="0"/>
              <w:pageBreakBefore w:val="0"/>
              <w:widowControl w:val="0"/>
              <w:kinsoku/>
              <w:wordWrap/>
              <w:topLinePunct w:val="0"/>
              <w:bidi w:val="0"/>
              <w:snapToGrid w:val="0"/>
              <w:textAlignment w:val="auto"/>
              <w:rPr>
                <w:sz w:val="21"/>
                <w:szCs w:val="21"/>
                <w:lang w:eastAsia="zh-CN"/>
              </w:rPr>
            </w:pPr>
            <w:r>
              <w:rPr>
                <w:sz w:val="21"/>
                <w:szCs w:val="21"/>
                <w:highlight w:val="green"/>
                <w:lang w:eastAsia="zh-CN"/>
              </w:rPr>
              <w:t xml:space="preserve">RAN4 provide </w:t>
            </w:r>
            <w:r>
              <w:rPr>
                <w:sz w:val="21"/>
                <w:szCs w:val="21"/>
                <w:highlight w:val="green"/>
                <w:u w:val="single"/>
                <w:lang w:eastAsia="zh-CN"/>
              </w:rPr>
              <w:t>the</w:t>
            </w:r>
            <w:r>
              <w:rPr>
                <w:sz w:val="21"/>
                <w:szCs w:val="21"/>
                <w:highlight w:val="green"/>
                <w:lang w:eastAsia="zh-CN"/>
              </w:rPr>
              <w:t xml:space="preserve"> above analysis to RAN2 (if consensus can be reached) and wait for RAN2 decision on whether servingCellMO is present for carriers of SSB-less SCell.</w:t>
            </w:r>
          </w:p>
          <w:p>
            <w:pPr>
              <w:pStyle w:val="33"/>
              <w:numPr>
                <w:ilvl w:val="0"/>
                <w:numId w:val="0"/>
              </w:numPr>
              <w:overflowPunct/>
              <w:autoSpaceDE/>
              <w:autoSpaceDN/>
              <w:adjustRightInd/>
              <w:spacing w:after="120"/>
              <w:textAlignment w:val="auto"/>
              <w:rPr>
                <w:rFonts w:hint="default"/>
                <w:b/>
                <w:u w:val="single"/>
                <w:lang w:val="en-US" w:eastAsia="zh-CN"/>
              </w:rPr>
            </w:pPr>
          </w:p>
          <w:p>
            <w:pPr>
              <w:rPr>
                <w:b/>
                <w:u w:val="single"/>
                <w:lang w:eastAsia="ko-KR"/>
              </w:rPr>
            </w:pPr>
            <w:r>
              <w:rPr>
                <w:b/>
                <w:u w:val="single"/>
                <w:lang w:eastAsia="ko-KR"/>
              </w:rPr>
              <w:t xml:space="preserve">Issue 1-1-2: EPRE conditions updating </w:t>
            </w:r>
          </w:p>
          <w:p>
            <w:pPr>
              <w:pStyle w:val="33"/>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33"/>
              <w:numPr>
                <w:ilvl w:val="1"/>
                <w:numId w:val="7"/>
              </w:numPr>
              <w:ind w:firstLineChars="0"/>
              <w:rPr>
                <w:szCs w:val="24"/>
                <w:lang w:eastAsia="zh-CN"/>
              </w:rPr>
            </w:pPr>
            <w:r>
              <w:rPr>
                <w:szCs w:val="24"/>
                <w:lang w:eastAsia="zh-CN"/>
              </w:rPr>
              <w:t xml:space="preserve">Option 1: When EPRE difference is beyond 12 dB and below 34 dB, UE is allowed one additional P-TRS for the AGC settling.  </w:t>
            </w:r>
          </w:p>
          <w:p>
            <w:pPr>
              <w:pStyle w:val="33"/>
              <w:numPr>
                <w:ilvl w:val="1"/>
                <w:numId w:val="7"/>
              </w:numPr>
              <w:ind w:firstLineChars="0"/>
              <w:rPr>
                <w:szCs w:val="24"/>
                <w:lang w:eastAsia="zh-CN"/>
              </w:rPr>
            </w:pPr>
            <w:r>
              <w:rPr>
                <w:szCs w:val="24"/>
                <w:lang w:eastAsia="zh-CN"/>
              </w:rPr>
              <w:t xml:space="preserve"> Option 2: </w:t>
            </w:r>
            <w:bookmarkStart w:id="0" w:name="_Hlk182389206"/>
            <w:r>
              <w:rPr>
                <w:rFonts w:hint="eastAsia"/>
                <w:szCs w:val="24"/>
                <w:lang w:eastAsia="zh-CN"/>
              </w:rPr>
              <w:t>Specify the threshold of Y as the value not smaller than 30dBm.</w:t>
            </w:r>
            <w:bookmarkEnd w:id="0"/>
            <w:r>
              <w:rPr>
                <w:szCs w:val="24"/>
                <w:lang w:eastAsia="zh-CN"/>
              </w:rPr>
              <w:t xml:space="preserve"> A-TRS based requirement is based on two TRS samples, not impacted by the threshold of X, Y. </w:t>
            </w:r>
          </w:p>
          <w:p>
            <w:pPr>
              <w:snapToGrid w:val="0"/>
              <w:spacing w:after="120"/>
              <w:rPr>
                <w:sz w:val="21"/>
                <w:szCs w:val="21"/>
                <w:lang w:eastAsia="zh-CN"/>
              </w:rPr>
            </w:pPr>
            <w:r>
              <w:rPr>
                <w:rFonts w:hint="eastAsia"/>
                <w:sz w:val="21"/>
                <w:szCs w:val="21"/>
                <w:highlight w:val="green"/>
                <w:lang w:eastAsia="zh-CN"/>
              </w:rPr>
              <w:t>A</w:t>
            </w:r>
            <w:r>
              <w:rPr>
                <w:sz w:val="21"/>
                <w:szCs w:val="21"/>
                <w:highlight w:val="green"/>
                <w:lang w:eastAsia="zh-CN"/>
              </w:rPr>
              <w:t xml:space="preserve">greement: </w:t>
            </w:r>
            <w:r>
              <w:rPr>
                <w:rFonts w:hint="eastAsia"/>
                <w:sz w:val="21"/>
                <w:szCs w:val="21"/>
                <w:highlight w:val="green"/>
                <w:lang w:eastAsia="zh-CN"/>
              </w:rPr>
              <w:t>C</w:t>
            </w:r>
            <w:r>
              <w:rPr>
                <w:sz w:val="21"/>
                <w:szCs w:val="21"/>
                <w:highlight w:val="green"/>
                <w:lang w:eastAsia="zh-CN"/>
              </w:rPr>
              <w:t>onclude the number without [] in the next meeting.</w:t>
            </w:r>
            <w:r>
              <w:rPr>
                <w:sz w:val="21"/>
                <w:szCs w:val="21"/>
                <w:lang w:eastAsia="zh-CN"/>
              </w:rPr>
              <w:t xml:space="preserve"> </w:t>
            </w:r>
          </w:p>
          <w:p>
            <w:pPr>
              <w:snapToGrid w:val="0"/>
              <w:spacing w:after="120"/>
              <w:rPr>
                <w:sz w:val="21"/>
                <w:szCs w:val="21"/>
                <w:lang w:eastAsia="zh-CN"/>
              </w:rPr>
            </w:pPr>
          </w:p>
          <w:p>
            <w:pPr>
              <w:rPr>
                <w:b/>
                <w:u w:val="single"/>
                <w:lang w:eastAsia="ko-KR"/>
              </w:rPr>
            </w:pPr>
            <w:r>
              <w:rPr>
                <w:b/>
                <w:u w:val="single"/>
                <w:lang w:eastAsia="ko-KR"/>
              </w:rPr>
              <w:t xml:space="preserve">Issue 1-1-4: intra-band NCCA </w:t>
            </w:r>
          </w:p>
          <w:p>
            <w:pPr>
              <w:snapToGrid w:val="0"/>
              <w:spacing w:after="120"/>
              <w:rPr>
                <w:rFonts w:hint="default"/>
                <w:sz w:val="21"/>
                <w:szCs w:val="21"/>
                <w:lang w:val="en-US" w:eastAsia="zh-CN"/>
              </w:rPr>
            </w:pPr>
            <w:r>
              <w:rPr>
                <w:sz w:val="21"/>
                <w:szCs w:val="21"/>
                <w:highlight w:val="green"/>
                <w:lang w:eastAsia="zh-CN"/>
              </w:rPr>
              <w:t>Agreement:</w:t>
            </w:r>
            <w:r>
              <w:rPr>
                <w:rFonts w:hint="eastAsia"/>
                <w:sz w:val="21"/>
                <w:szCs w:val="21"/>
                <w:highlight w:val="green"/>
                <w:lang w:eastAsia="zh-CN"/>
              </w:rPr>
              <w:t xml:space="preserve"> </w:t>
            </w:r>
            <w:r>
              <w:rPr>
                <w:sz w:val="21"/>
                <w:szCs w:val="21"/>
                <w:highlight w:val="green"/>
                <w:lang w:eastAsia="zh-CN"/>
              </w:rPr>
              <w:t xml:space="preserve">The </w:t>
            </w:r>
            <w:r>
              <w:rPr>
                <w:rFonts w:hint="eastAsia"/>
                <w:sz w:val="21"/>
                <w:szCs w:val="21"/>
                <w:highlight w:val="green"/>
                <w:lang w:eastAsia="zh-CN"/>
              </w:rPr>
              <w:t>i</w:t>
            </w:r>
            <w:r>
              <w:rPr>
                <w:sz w:val="21"/>
                <w:szCs w:val="21"/>
                <w:highlight w:val="green"/>
                <w:lang w:eastAsia="zh-CN"/>
              </w:rPr>
              <w:t>ssue is closed.</w:t>
            </w:r>
          </w:p>
        </w:tc>
      </w:tr>
    </w:tbl>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In this document, we provide our views on the remaining issues around SSB-less SCell operation.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bidi w:val="0"/>
        <w:rPr>
          <w:rFonts w:hint="eastAsia"/>
          <w:b/>
          <w:bCs/>
          <w:u w:val="single"/>
          <w:lang w:val="en-US" w:eastAsia="zh-CN"/>
        </w:rPr>
      </w:pPr>
      <w:r>
        <w:rPr>
          <w:rFonts w:hint="eastAsia"/>
          <w:b/>
          <w:bCs/>
          <w:u w:val="single"/>
          <w:lang w:val="en-US" w:eastAsia="zh-CN"/>
        </w:rPr>
        <w:t>Feasibility conditions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In previous meeting, the side condition of power difference has been warmly discussed with the following agreements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val="0"/>
              <w:textAlignment w:val="auto"/>
              <w:rPr>
                <w:rFonts w:eastAsia="等线"/>
                <w:kern w:val="2"/>
                <w:sz w:val="21"/>
                <w:szCs w:val="21"/>
                <w:highlight w:val="green"/>
                <w:lang w:val="en-US" w:eastAsia="zh-CN"/>
              </w:rPr>
            </w:pPr>
            <w:r>
              <w:rPr>
                <w:rFonts w:eastAsia="等线"/>
                <w:kern w:val="2"/>
                <w:sz w:val="21"/>
                <w:szCs w:val="21"/>
                <w:highlight w:val="green"/>
                <w:lang w:val="en-US" w:eastAsia="zh-CN"/>
              </w:rPr>
              <w:t>Agreement:</w:t>
            </w:r>
          </w:p>
          <w:p>
            <w:pPr>
              <w:keepNext w:val="0"/>
              <w:keepLines w:val="0"/>
              <w:pageBreakBefore w:val="0"/>
              <w:widowControl/>
              <w:numPr>
                <w:ilvl w:val="1"/>
                <w:numId w:val="7"/>
              </w:numPr>
              <w:kinsoku/>
              <w:wordWrap/>
              <w:overflowPunct/>
              <w:topLinePunct w:val="0"/>
              <w:autoSpaceDE/>
              <w:autoSpaceDN/>
              <w:bidi w:val="0"/>
              <w:adjustRightInd/>
              <w:snapToGrid w:val="0"/>
              <w:ind w:left="1440"/>
              <w:textAlignment w:val="auto"/>
              <w:rPr>
                <w:rFonts w:eastAsia="等线"/>
                <w:kern w:val="2"/>
                <w:sz w:val="21"/>
                <w:szCs w:val="21"/>
                <w:highlight w:val="green"/>
                <w:lang w:val="en-US" w:eastAsia="zh-CN"/>
              </w:rPr>
            </w:pPr>
            <w:r>
              <w:rPr>
                <w:rFonts w:hint="eastAsia" w:eastAsia="等线"/>
                <w:kern w:val="2"/>
                <w:sz w:val="21"/>
                <w:szCs w:val="21"/>
                <w:highlight w:val="green"/>
                <w:lang w:val="en-US" w:eastAsia="zh-CN"/>
              </w:rPr>
              <w:t>F</w:t>
            </w:r>
            <w:r>
              <w:rPr>
                <w:rFonts w:eastAsia="等线"/>
                <w:kern w:val="2"/>
                <w:sz w:val="21"/>
                <w:szCs w:val="21"/>
                <w:highlight w:val="green"/>
                <w:lang w:val="en-US" w:eastAsia="zh-CN"/>
              </w:rPr>
              <w:t>or EPRE difference within X dB, keep the existing requirement.</w:t>
            </w:r>
          </w:p>
          <w:p>
            <w:pPr>
              <w:keepNext w:val="0"/>
              <w:keepLines w:val="0"/>
              <w:pageBreakBefore w:val="0"/>
              <w:widowControl/>
              <w:numPr>
                <w:ilvl w:val="2"/>
                <w:numId w:val="7"/>
              </w:numPr>
              <w:kinsoku/>
              <w:wordWrap/>
              <w:overflowPunct/>
              <w:topLinePunct w:val="0"/>
              <w:autoSpaceDE/>
              <w:autoSpaceDN/>
              <w:bidi w:val="0"/>
              <w:adjustRightInd/>
              <w:snapToGrid w:val="0"/>
              <w:textAlignment w:val="auto"/>
              <w:rPr>
                <w:rFonts w:eastAsia="等线"/>
                <w:kern w:val="2"/>
                <w:sz w:val="21"/>
                <w:szCs w:val="21"/>
                <w:highlight w:val="green"/>
                <w:lang w:val="en-US" w:eastAsia="zh-CN"/>
              </w:rPr>
            </w:pPr>
            <w:r>
              <w:rPr>
                <w:rFonts w:hint="eastAsia" w:eastAsia="等线"/>
                <w:kern w:val="2"/>
                <w:sz w:val="21"/>
                <w:szCs w:val="21"/>
                <w:highlight w:val="green"/>
                <w:lang w:val="en-US" w:eastAsia="zh-CN"/>
              </w:rPr>
              <w:t>X</w:t>
            </w:r>
            <w:r>
              <w:rPr>
                <w:rFonts w:eastAsia="等线"/>
                <w:kern w:val="2"/>
                <w:sz w:val="21"/>
                <w:szCs w:val="21"/>
                <w:highlight w:val="green"/>
                <w:lang w:val="en-US" w:eastAsia="zh-CN"/>
              </w:rPr>
              <w:t xml:space="preserve"> equals to or larger than 12 dB</w:t>
            </w:r>
          </w:p>
          <w:p>
            <w:pPr>
              <w:keepNext w:val="0"/>
              <w:keepLines w:val="0"/>
              <w:pageBreakBefore w:val="0"/>
              <w:widowControl/>
              <w:numPr>
                <w:ilvl w:val="1"/>
                <w:numId w:val="7"/>
              </w:numPr>
              <w:kinsoku/>
              <w:wordWrap/>
              <w:overflowPunct/>
              <w:topLinePunct w:val="0"/>
              <w:autoSpaceDE/>
              <w:autoSpaceDN/>
              <w:bidi w:val="0"/>
              <w:adjustRightInd/>
              <w:snapToGrid w:val="0"/>
              <w:ind w:left="1440"/>
              <w:textAlignment w:val="auto"/>
              <w:rPr>
                <w:rFonts w:eastAsia="等线"/>
                <w:kern w:val="2"/>
                <w:sz w:val="21"/>
                <w:szCs w:val="21"/>
                <w:highlight w:val="green"/>
                <w:lang w:val="en-US" w:eastAsia="zh-CN"/>
              </w:rPr>
            </w:pPr>
            <w:r>
              <w:rPr>
                <w:rFonts w:eastAsia="等线"/>
                <w:kern w:val="2"/>
                <w:sz w:val="21"/>
                <w:szCs w:val="21"/>
                <w:highlight w:val="green"/>
                <w:lang w:val="en-US" w:eastAsia="zh-CN"/>
              </w:rPr>
              <w:t>For EPRE difference beyond X dB and no larger than Y dB, add one more P-TRS occurrence.</w:t>
            </w:r>
          </w:p>
          <w:p>
            <w:pPr>
              <w:keepNext w:val="0"/>
              <w:keepLines w:val="0"/>
              <w:pageBreakBefore w:val="0"/>
              <w:widowControl/>
              <w:numPr>
                <w:ilvl w:val="2"/>
                <w:numId w:val="7"/>
              </w:numPr>
              <w:kinsoku/>
              <w:wordWrap/>
              <w:overflowPunct/>
              <w:topLinePunct w:val="0"/>
              <w:autoSpaceDE/>
              <w:autoSpaceDN/>
              <w:bidi w:val="0"/>
              <w:adjustRightInd/>
              <w:snapToGrid w:val="0"/>
              <w:textAlignment w:val="auto"/>
              <w:rPr>
                <w:rFonts w:eastAsia="等线"/>
                <w:kern w:val="2"/>
                <w:sz w:val="21"/>
                <w:szCs w:val="21"/>
                <w:highlight w:val="green"/>
                <w:lang w:val="en-US" w:eastAsia="zh-CN"/>
              </w:rPr>
            </w:pPr>
            <w:r>
              <w:rPr>
                <w:rFonts w:eastAsia="等线"/>
                <w:kern w:val="2"/>
                <w:sz w:val="21"/>
                <w:szCs w:val="21"/>
                <w:highlight w:val="green"/>
                <w:lang w:val="en-US" w:eastAsia="zh-CN"/>
              </w:rPr>
              <w:t>Further discuss whether the upper bound of Y is needed. If needed, Y is larger than 25dB.</w:t>
            </w:r>
          </w:p>
          <w:p>
            <w:pPr>
              <w:keepNext w:val="0"/>
              <w:keepLines w:val="0"/>
              <w:pageBreakBefore w:val="0"/>
              <w:widowControl/>
              <w:numPr>
                <w:ilvl w:val="1"/>
                <w:numId w:val="7"/>
              </w:numPr>
              <w:kinsoku/>
              <w:wordWrap/>
              <w:overflowPunct/>
              <w:topLinePunct w:val="0"/>
              <w:autoSpaceDE/>
              <w:autoSpaceDN/>
              <w:bidi w:val="0"/>
              <w:adjustRightInd/>
              <w:snapToGrid w:val="0"/>
              <w:ind w:left="1440"/>
              <w:textAlignment w:val="auto"/>
              <w:rPr>
                <w:rFonts w:eastAsia="等线"/>
                <w:kern w:val="2"/>
                <w:sz w:val="21"/>
                <w:szCs w:val="21"/>
                <w:highlight w:val="green"/>
                <w:lang w:val="en-US" w:eastAsia="zh-CN"/>
              </w:rPr>
            </w:pPr>
            <w:r>
              <w:rPr>
                <w:rFonts w:eastAsia="等线"/>
                <w:kern w:val="2"/>
                <w:sz w:val="21"/>
                <w:szCs w:val="21"/>
                <w:highlight w:val="green"/>
                <w:lang w:val="en-US" w:eastAsia="zh-CN"/>
              </w:rPr>
              <w:t>From RAN4 perspective, AGC compensation for carrier frequency difference can be optionally implemented by UE. Remove “[after pre-compensation]” from the spec, i.e., not specify “AGC compensation” for carrier frequency difference in the spec.</w:t>
            </w:r>
          </w:p>
          <w:p>
            <w:pPr>
              <w:keepNext w:val="0"/>
              <w:keepLines w:val="0"/>
              <w:pageBreakBefore w:val="0"/>
              <w:widowControl/>
              <w:numPr>
                <w:ilvl w:val="1"/>
                <w:numId w:val="7"/>
              </w:numPr>
              <w:kinsoku/>
              <w:wordWrap/>
              <w:overflowPunct/>
              <w:topLinePunct w:val="0"/>
              <w:autoSpaceDE/>
              <w:autoSpaceDN/>
              <w:bidi w:val="0"/>
              <w:adjustRightInd/>
              <w:snapToGrid w:val="0"/>
              <w:ind w:left="1440"/>
              <w:textAlignment w:val="auto"/>
              <w:rPr>
                <w:b/>
                <w:u w:val="single"/>
                <w:lang w:val="en-US" w:eastAsia="ko-KR"/>
              </w:rPr>
            </w:pPr>
            <w:r>
              <w:rPr>
                <w:rFonts w:eastAsia="等线"/>
                <w:kern w:val="2"/>
                <w:sz w:val="21"/>
                <w:szCs w:val="21"/>
                <w:highlight w:val="green"/>
                <w:lang w:val="en-US" w:eastAsia="zh-CN"/>
              </w:rPr>
              <w:t>Further discuss the X and Y values in this meeting. Try to conclude in the 2</w:t>
            </w:r>
            <w:r>
              <w:rPr>
                <w:rFonts w:eastAsia="等线"/>
                <w:kern w:val="2"/>
                <w:sz w:val="21"/>
                <w:szCs w:val="21"/>
                <w:highlight w:val="green"/>
                <w:vertAlign w:val="superscript"/>
                <w:lang w:val="en-US" w:eastAsia="zh-CN"/>
              </w:rPr>
              <w:t>nd</w:t>
            </w:r>
            <w:r>
              <w:rPr>
                <w:rFonts w:eastAsia="等线"/>
                <w:kern w:val="2"/>
                <w:sz w:val="21"/>
                <w:szCs w:val="21"/>
                <w:highlight w:val="green"/>
                <w:lang w:val="en-US" w:eastAsia="zh-CN"/>
              </w:rPr>
              <w:t xml:space="preserve"> round on Thursday afternoon.</w:t>
            </w:r>
          </w:p>
          <w:p>
            <w:pPr>
              <w:keepNext w:val="0"/>
              <w:keepLines w:val="0"/>
              <w:pageBreakBefore w:val="0"/>
              <w:widowControl/>
              <w:kinsoku/>
              <w:wordWrap/>
              <w:overflowPunct/>
              <w:topLinePunct w:val="0"/>
              <w:autoSpaceDE/>
              <w:autoSpaceDN/>
              <w:bidi w:val="0"/>
              <w:adjustRightInd/>
              <w:snapToGrid w:val="0"/>
              <w:textAlignment w:val="auto"/>
              <w:rPr>
                <w:rFonts w:hint="eastAsia" w:eastAsia="宋体"/>
                <w:szCs w:val="20"/>
                <w:vertAlign w:val="baseline"/>
                <w:lang w:val="en-US" w:eastAsia="zh-CN"/>
              </w:rPr>
            </w:pPr>
            <w:r>
              <w:rPr>
                <w:sz w:val="21"/>
                <w:szCs w:val="21"/>
                <w:highlight w:val="green"/>
                <w:lang w:val="en-US" w:eastAsia="ko-KR"/>
              </w:rPr>
              <w:t>Additional Agreement:</w:t>
            </w:r>
            <w:r>
              <w:rPr>
                <w:rFonts w:hint="eastAsia" w:eastAsiaTheme="minorEastAsia"/>
                <w:sz w:val="21"/>
                <w:szCs w:val="21"/>
                <w:highlight w:val="green"/>
                <w:lang w:val="en-US" w:eastAsia="zh-CN"/>
              </w:rPr>
              <w:t xml:space="preserve"> </w:t>
            </w:r>
            <w:r>
              <w:rPr>
                <w:sz w:val="21"/>
                <w:szCs w:val="21"/>
                <w:highlight w:val="green"/>
                <w:lang w:val="en-US" w:eastAsia="ko-KR"/>
              </w:rPr>
              <w:t>X = 12; Y = [30]</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Originally the pre-compensation is used by UE to overcome the predicted power difference between SSB-less SCell and reference cell since of the BW difference and carrier frequency difference, unfortunately some UE vendors raised concern on the UE implementation of pre-compensation. So the solution falls back to two set of requirements defined. Follow this logic, one threshold to distinguish the application of two requirements is needed, i.e. the threshold of X. When the EPRE difference is within X dB, the requirement of two P-TRS/A-TRS samples is assumed. Otherwise, the requirement of three P-TRS samples is assumed. For the former case, one TRS sample is used to perform AGC and the other TRS sample is used to perform fine time tracking. For the latter case, two TRS samples are used to perform AGC and the other TRS sample is used to perform fine time tracking. But for the latter case, even two TRS samples are kept to perform AGC, some company still shows concern on the risk if much larger EPRE difference is possible. To prevent such extreme case of much larger EPRE difference, the threshold of Y was introduced. The threshold Y implies the UE is still capable of performing AGC within 2 TRS samples under a EPRE difference as much as Y dB. Regarding the value of Y, we prefer the value not smaller than 30 dBm.</w:t>
      </w:r>
    </w:p>
    <w:p>
      <w:pPr>
        <w:rPr>
          <w:rFonts w:hint="default" w:eastAsia="宋体" w:cs="Times New Roman"/>
          <w:szCs w:val="20"/>
          <w:lang w:val="en-US" w:eastAsia="zh-CN" w:bidi="ar-SA"/>
        </w:rPr>
      </w:pPr>
      <w:r>
        <w:rPr>
          <w:rFonts w:hint="eastAsia" w:eastAsia="宋体"/>
          <w:b/>
          <w:bCs/>
          <w:szCs w:val="20"/>
          <w:highlight w:val="none"/>
          <w:lang w:val="en-US" w:eastAsia="zh-CN"/>
        </w:rPr>
        <w:t xml:space="preserve">Proposal 1: Specify the threshold of Y as the value not smaller than 30dBm.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It should be noted that for A-TRS case, due to the special A-TRS bursts framework, so only two samples of measurement is allowed. So only one set of requirement is defined for the A-TRS case, which accommodates 2 samples to perform both AGC and fine time tracking.</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b/>
          <w:bCs/>
          <w:szCs w:val="20"/>
          <w:highlight w:val="none"/>
          <w:lang w:val="en-US" w:eastAsia="zh-CN"/>
        </w:rPr>
        <w:t>Proposal 2: A-TRS based requirement is based on two TRS samples, not impacted by the threshold of X, Y.</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b/>
          <w:u w:val="single"/>
          <w:lang w:eastAsia="ko-KR"/>
        </w:rPr>
      </w:pPr>
      <w:r>
        <w:rPr>
          <w:b/>
          <w:u w:val="single"/>
          <w:lang w:eastAsia="ko-KR"/>
        </w:rPr>
        <w:t>Neighbor cells on carrier of SSB-less SCell</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Due to time limited, this issue was discussed in last meeting but not deeply enough. While companies provide good analysis logically, this issue was divided into three sub-issues. We provide our further view on these sub-issues one by one.</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default" w:eastAsia="宋体"/>
          <w:szCs w:val="20"/>
          <w:lang w:val="en-US" w:eastAsia="zh-CN"/>
        </w:rPr>
        <w:t>Sub-issue 1: Whether servingCellMO can be present for inter-band SSB-less SCell</w:t>
      </w:r>
    </w:p>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szCs w:val="20"/>
          <w:lang w:val="en-US" w:eastAsia="zh-CN"/>
        </w:rPr>
        <w:t>Actually in our paper submitted in last meeting, we provide overall analysis from the perspective of signalling. We raise this sub-issue not only triggered by RAN2 progress, but also aim to address the confliction existing in current RAN4 spec.</w:t>
      </w:r>
    </w:p>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szCs w:val="20"/>
          <w:lang w:val="en-US" w:eastAsia="zh-CN"/>
        </w:rPr>
        <w:t>RAN2 achieved the following agreements in RAN2#127bis: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val="0"/>
              <w:topLinePunct w:val="0"/>
              <w:autoSpaceDE w:val="0"/>
              <w:autoSpaceDN w:val="0"/>
              <w:bidi w:val="0"/>
              <w:adjustRightInd w:val="0"/>
              <w:spacing w:line="240" w:lineRule="auto"/>
              <w:jc w:val="both"/>
              <w:textAlignment w:val="baseline"/>
              <w:rPr>
                <w:rFonts w:eastAsia="Yu Mincho"/>
                <w:b/>
                <w:bCs/>
              </w:rPr>
            </w:pPr>
            <w:r>
              <w:rPr>
                <w:rFonts w:eastAsia="Yu Mincho"/>
                <w:b/>
                <w:bCs/>
              </w:rPr>
              <w:t>Agreements</w:t>
            </w:r>
          </w:p>
          <w:p>
            <w:pPr>
              <w:keepNext w:val="0"/>
              <w:keepLines w:val="0"/>
              <w:pageBreakBefore w:val="0"/>
              <w:widowControl w:val="0"/>
              <w:kinsoku/>
              <w:wordWrap/>
              <w:overflowPunct w:val="0"/>
              <w:topLinePunct w:val="0"/>
              <w:autoSpaceDE w:val="0"/>
              <w:autoSpaceDN w:val="0"/>
              <w:bidi w:val="0"/>
              <w:adjustRightInd w:val="0"/>
              <w:spacing w:line="240" w:lineRule="auto"/>
              <w:jc w:val="both"/>
              <w:textAlignment w:val="baseline"/>
              <w:rPr>
                <w:rFonts w:eastAsia="Yu Mincho"/>
              </w:rPr>
            </w:pPr>
            <w:r>
              <w:rPr>
                <w:rFonts w:eastAsia="Yu Mincho"/>
              </w:rPr>
              <w:t>1</w:t>
            </w:r>
            <w:r>
              <w:rPr>
                <w:rFonts w:eastAsia="Yu Mincho"/>
              </w:rPr>
              <w:tab/>
            </w:r>
            <w:r>
              <w:rPr>
                <w:rFonts w:eastAsia="Yu Mincho"/>
              </w:rPr>
              <w:t>From RAN2 perspective, no benefit is identified for configuring servingCellMO for inter-band SSB-less SCell.</w:t>
            </w:r>
          </w:p>
          <w:p>
            <w:pPr>
              <w:keepNext w:val="0"/>
              <w:keepLines w:val="0"/>
              <w:pageBreakBefore w:val="0"/>
              <w:widowControl w:val="0"/>
              <w:kinsoku/>
              <w:wordWrap/>
              <w:overflowPunct w:val="0"/>
              <w:topLinePunct w:val="0"/>
              <w:autoSpaceDE w:val="0"/>
              <w:autoSpaceDN w:val="0"/>
              <w:bidi w:val="0"/>
              <w:adjustRightInd w:val="0"/>
              <w:spacing w:line="240" w:lineRule="auto"/>
              <w:jc w:val="both"/>
              <w:textAlignment w:val="baseline"/>
              <w:rPr>
                <w:rFonts w:eastAsia="Yu Mincho"/>
              </w:rPr>
            </w:pPr>
            <w:r>
              <w:rPr>
                <w:rFonts w:eastAsia="Yu Mincho"/>
              </w:rPr>
              <w:t>2</w:t>
            </w:r>
            <w:r>
              <w:rPr>
                <w:rFonts w:eastAsia="Yu Mincho"/>
              </w:rPr>
              <w:tab/>
            </w:r>
            <w:r>
              <w:rPr>
                <w:rFonts w:eastAsia="Yu Mincho"/>
              </w:rPr>
              <w:t>No LS is sent to R4.</w:t>
            </w:r>
          </w:p>
          <w:p>
            <w:pPr>
              <w:keepNext w:val="0"/>
              <w:keepLines w:val="0"/>
              <w:pageBreakBefore w:val="0"/>
              <w:widowControl w:val="0"/>
              <w:kinsoku/>
              <w:wordWrap/>
              <w:overflowPunct w:val="0"/>
              <w:topLinePunct w:val="0"/>
              <w:autoSpaceDE w:val="0"/>
              <w:autoSpaceDN w:val="0"/>
              <w:bidi w:val="0"/>
              <w:adjustRightInd w:val="0"/>
              <w:spacing w:line="240" w:lineRule="auto"/>
              <w:jc w:val="both"/>
              <w:textAlignment w:val="baseline"/>
              <w:rPr>
                <w:rFonts w:eastAsia="Yu Mincho"/>
              </w:rPr>
            </w:pPr>
            <w:r>
              <w:rPr>
                <w:rFonts w:eastAsia="Yu Mincho"/>
              </w:rPr>
              <w:t>3</w:t>
            </w:r>
            <w:r>
              <w:rPr>
                <w:rFonts w:eastAsia="Yu Mincho"/>
              </w:rPr>
              <w:tab/>
            </w:r>
            <w:r>
              <w:rPr>
                <w:rFonts w:eastAsia="Yu Mincho"/>
              </w:rPr>
              <w:t>Discuss in the next meeting on whether to capture “For inter-band SSB-less SCell(s), this field is not present” in the conditional presence of servingCellMO, depending on R4 progress.</w:t>
            </w:r>
          </w:p>
          <w:p>
            <w:pPr>
              <w:pStyle w:val="11"/>
              <w:numPr>
                <w:ilvl w:val="0"/>
                <w:numId w:val="0"/>
              </w:numPr>
              <w:tabs>
                <w:tab w:val="left" w:pos="226"/>
                <w:tab w:val="left" w:pos="284"/>
                <w:tab w:val="left" w:pos="5103"/>
              </w:tabs>
              <w:snapToGrid w:val="0"/>
              <w:spacing w:before="156" w:beforeLines="50"/>
              <w:rPr>
                <w:rFonts w:hint="default" w:eastAsia="宋体"/>
                <w:szCs w:val="20"/>
                <w:vertAlign w:val="baseline"/>
                <w:lang w:val="en-US" w:eastAsia="zh-CN"/>
              </w:rPr>
            </w:pPr>
            <w:r>
              <w:rPr>
                <w:rFonts w:eastAsia="Yu Mincho"/>
              </w:rPr>
              <w:t>4</w:t>
            </w:r>
            <w:r>
              <w:rPr>
                <w:rFonts w:eastAsia="Yu Mincho"/>
              </w:rPr>
              <w:tab/>
            </w:r>
            <w:r>
              <w:rPr>
                <w:rFonts w:eastAsia="Yu Mincho"/>
              </w:rPr>
              <w:t>Postpone the discussion on intra-band SSB-less SCell.</w:t>
            </w:r>
          </w:p>
        </w:tc>
      </w:tr>
    </w:tbl>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szCs w:val="20"/>
          <w:lang w:val="en-US" w:eastAsia="zh-CN"/>
        </w:rPr>
        <w:t xml:space="preserve">Since no RAN4 progress in Orlando meeting, RAN2 has no further discussion regarding the configuration of servingCellMO. </w:t>
      </w:r>
    </w:p>
    <w:p>
      <w:pPr>
        <w:pStyle w:val="11"/>
        <w:numPr>
          <w:ilvl w:val="0"/>
          <w:numId w:val="0"/>
        </w:numPr>
        <w:tabs>
          <w:tab w:val="left" w:pos="226"/>
          <w:tab w:val="left" w:pos="284"/>
          <w:tab w:val="left" w:pos="5103"/>
        </w:tabs>
        <w:snapToGrid w:val="0"/>
        <w:spacing w:before="156" w:beforeLines="50"/>
        <w:ind w:leftChars="0"/>
        <w:rPr>
          <w:rFonts w:hint="default" w:eastAsia="宋体"/>
          <w:szCs w:val="20"/>
          <w:lang w:val="en-US" w:eastAsia="zh-CN"/>
        </w:rPr>
      </w:pPr>
      <w:r>
        <w:rPr>
          <w:rFonts w:hint="eastAsia" w:eastAsia="宋体"/>
          <w:szCs w:val="20"/>
          <w:lang w:val="en-US" w:eastAsia="zh-CN"/>
        </w:rPr>
        <w:t>Actually from RAN4 perspective, the more we should pay attention to, is how to guarantee no conflict between the SSB-less SCell definition and the demand of SSB based neighbour cell measurement. For the SSB-less SCell, if the SSB based neighbour cell measurement is expected at this frequency, under this case, for the sake of SSB based neighbour cell measurement, the SMTC should be configured in the relevant MO, but so as to meet the definition of SSB-less SCell as below, actually no SMTC could be configured. So how to address such conflict, one simple solution is not to declare this MO as </w:t>
      </w:r>
      <w:r>
        <w:rPr>
          <w:rFonts w:hint="eastAsia" w:eastAsia="宋体"/>
          <w:i/>
          <w:iCs/>
          <w:szCs w:val="20"/>
          <w:lang w:val="en-US" w:eastAsia="zh-CN"/>
        </w:rPr>
        <w:t>ServingCellMo</w:t>
      </w:r>
      <w:r>
        <w:rPr>
          <w:rFonts w:hint="eastAsia" w:eastAsia="宋体"/>
          <w:szCs w:val="20"/>
          <w:lang w:val="en-US" w:eastAsia="zh-CN"/>
        </w:rPr>
        <w:t>.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1"/>
              <w:numPr>
                <w:ilvl w:val="0"/>
                <w:numId w:val="0"/>
              </w:numPr>
              <w:tabs>
                <w:tab w:val="left" w:pos="226"/>
                <w:tab w:val="left" w:pos="284"/>
                <w:tab w:val="left" w:pos="5103"/>
              </w:tabs>
              <w:snapToGrid w:val="0"/>
              <w:spacing w:before="156" w:beforeLines="50"/>
              <w:rPr>
                <w:rFonts w:hint="default" w:eastAsia="宋体"/>
                <w:szCs w:val="20"/>
                <w:vertAlign w:val="baseline"/>
                <w:lang w:val="en-US" w:eastAsia="zh-CN"/>
              </w:rPr>
            </w:pPr>
            <w:r>
              <w:rPr>
                <w:rFonts w:hint="default" w:eastAsia="宋体"/>
                <w:szCs w:val="20"/>
                <w:vertAlign w:val="baseline"/>
                <w:lang w:val="en-US" w:eastAsia="zh-CN"/>
              </w:rPr>
              <w:t xml:space="preserve">The definition of SSB-less SCell is captured in the </w:t>
            </w:r>
            <w:r>
              <w:rPr>
                <w:rFonts w:hint="eastAsia" w:eastAsia="宋体"/>
                <w:szCs w:val="20"/>
                <w:vertAlign w:val="baseline"/>
                <w:lang w:val="en-US" w:eastAsia="zh-CN"/>
              </w:rPr>
              <w:t xml:space="preserve">38.133 </w:t>
            </w:r>
            <w:r>
              <w:rPr>
                <w:rFonts w:hint="default" w:eastAsia="宋体"/>
                <w:szCs w:val="20"/>
                <w:vertAlign w:val="baseline"/>
                <w:lang w:val="en-US" w:eastAsia="zh-CN"/>
              </w:rPr>
              <w:t>as below:</w:t>
            </w:r>
          </w:p>
          <w:p>
            <w:pPr>
              <w:pStyle w:val="11"/>
              <w:numPr>
                <w:ilvl w:val="0"/>
                <w:numId w:val="0"/>
              </w:numPr>
              <w:tabs>
                <w:tab w:val="left" w:pos="226"/>
                <w:tab w:val="left" w:pos="284"/>
                <w:tab w:val="left" w:pos="5103"/>
              </w:tabs>
              <w:snapToGrid w:val="0"/>
              <w:spacing w:before="156" w:beforeLines="50"/>
              <w:rPr>
                <w:rFonts w:hint="default" w:eastAsia="宋体"/>
                <w:szCs w:val="20"/>
                <w:vertAlign w:val="baseline"/>
                <w:lang w:val="en-US" w:eastAsia="zh-CN"/>
              </w:rPr>
            </w:pPr>
            <w:r>
              <w:rPr>
                <w:rFonts w:hint="default" w:eastAsia="宋体"/>
                <w:szCs w:val="20"/>
                <w:vertAlign w:val="baseline"/>
                <w:lang w:val="en-US" w:eastAsia="zh-CN"/>
              </w:rPr>
              <w:t xml:space="preserve">For a UE supporting scellWithoutSSB-InterBandCA-r18 if the SCell being activated belongs to FR1 and if the UE is </w:t>
            </w:r>
            <w:r>
              <w:rPr>
                <w:rFonts w:hint="default" w:eastAsia="宋体"/>
                <w:szCs w:val="20"/>
                <w:highlight w:val="yellow"/>
                <w:vertAlign w:val="baseline"/>
                <w:lang w:val="en-US" w:eastAsia="zh-CN"/>
              </w:rPr>
              <w:t>not provided</w:t>
            </w:r>
            <w:r>
              <w:rPr>
                <w:rFonts w:hint="default" w:eastAsia="宋体"/>
                <w:szCs w:val="20"/>
                <w:vertAlign w:val="baseline"/>
                <w:lang w:val="en-US" w:eastAsia="zh-CN"/>
              </w:rPr>
              <w:t xml:space="preserve"> with SSB configuration (absoluteFrequencySSB)</w:t>
            </w:r>
            <w:r>
              <w:rPr>
                <w:rFonts w:hint="default" w:eastAsia="宋体"/>
                <w:szCs w:val="20"/>
                <w:highlight w:val="yellow"/>
                <w:vertAlign w:val="baseline"/>
                <w:lang w:val="en-US" w:eastAsia="zh-CN"/>
              </w:rPr>
              <w:t xml:space="preserve"> in the target SCell</w:t>
            </w:r>
            <w:r>
              <w:rPr>
                <w:rFonts w:hint="default" w:eastAsia="宋体"/>
                <w:szCs w:val="20"/>
                <w:vertAlign w:val="baseline"/>
                <w:lang w:val="en-US" w:eastAsia="zh-CN"/>
              </w:rPr>
              <w:t xml:space="preserve"> (FrequencyInfoDL) </w:t>
            </w:r>
            <w:r>
              <w:rPr>
                <w:rFonts w:hint="default" w:eastAsia="宋体"/>
                <w:szCs w:val="20"/>
                <w:highlight w:val="yellow"/>
                <w:vertAlign w:val="baseline"/>
                <w:lang w:val="en-US" w:eastAsia="zh-CN"/>
              </w:rPr>
              <w:t>nor SMTC configuration</w:t>
            </w:r>
            <w:r>
              <w:rPr>
                <w:rFonts w:hint="default" w:eastAsia="宋体"/>
                <w:szCs w:val="20"/>
                <w:vertAlign w:val="baseline"/>
                <w:lang w:val="en-US" w:eastAsia="zh-CN"/>
              </w:rPr>
              <w:t xml:space="preserve"> for the target SCell...</w:t>
            </w:r>
          </w:p>
        </w:tc>
      </w:tr>
    </w:tbl>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b/>
          <w:bCs/>
          <w:szCs w:val="20"/>
          <w:highlight w:val="none"/>
          <w:lang w:val="en-US" w:eastAsia="zh-CN"/>
        </w:rPr>
        <w:t xml:space="preserve">Observation 1: There is conflict between the current SSB-less SCell definition and the demand of SSB based neighbour cell measurement. </w:t>
      </w:r>
    </w:p>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szCs w:val="20"/>
          <w:lang w:val="en-US" w:eastAsia="zh-CN"/>
        </w:rPr>
        <w:t>Regarding how to understand“the centre frequency of the SSB of the serving cell”, it should be clarified as the frequency configured in MO and declared as </w:t>
      </w:r>
      <w:r>
        <w:rPr>
          <w:rFonts w:hint="eastAsia" w:eastAsia="宋体"/>
          <w:i/>
          <w:iCs/>
          <w:szCs w:val="20"/>
          <w:lang w:val="en-US" w:eastAsia="zh-CN"/>
        </w:rPr>
        <w:t>ServingCellMo </w:t>
      </w:r>
      <w:r>
        <w:rPr>
          <w:rFonts w:hint="eastAsia" w:eastAsia="宋体"/>
          <w:szCs w:val="20"/>
          <w:lang w:val="en-US" w:eastAsia="zh-CN"/>
        </w:rPr>
        <w:t xml:space="preserve">instead of the </w:t>
      </w:r>
      <w:r>
        <w:rPr>
          <w:rFonts w:hint="eastAsia" w:eastAsia="宋体"/>
          <w:i/>
          <w:iCs/>
          <w:szCs w:val="20"/>
          <w:lang w:val="en-US" w:eastAsia="zh-CN"/>
        </w:rPr>
        <w:t xml:space="preserve">absoluteFrequencySSB </w:t>
      </w:r>
      <w:r>
        <w:rPr>
          <w:rFonts w:hint="eastAsia" w:eastAsia="宋体"/>
          <w:szCs w:val="20"/>
          <w:lang w:val="en-US" w:eastAsia="zh-CN"/>
        </w:rPr>
        <w:t xml:space="preserve">defined through </w:t>
      </w:r>
      <w:r>
        <w:rPr>
          <w:rFonts w:hint="eastAsia" w:eastAsia="宋体"/>
          <w:i/>
          <w:iCs/>
          <w:szCs w:val="20"/>
          <w:lang w:val="en-US" w:eastAsia="zh-CN"/>
        </w:rPr>
        <w:t>ServingCellConfigCommon -&gt; DownlinkConfigCommon -&gt;FrequencyInfoDL -&gt; absoluteFrequencySSB</w:t>
      </w:r>
      <w:r>
        <w:rPr>
          <w:rFonts w:hint="eastAsia" w:eastAsia="宋体"/>
          <w:szCs w:val="20"/>
          <w:lang w:val="en-US" w:eastAsia="zh-CN"/>
        </w:rPr>
        <w:t xml:space="preserve">. Since the configuration of </w:t>
      </w:r>
      <w:r>
        <w:rPr>
          <w:rFonts w:hint="eastAsia" w:eastAsia="宋体"/>
          <w:i/>
          <w:iCs/>
          <w:szCs w:val="20"/>
          <w:lang w:val="en-US" w:eastAsia="zh-CN"/>
        </w:rPr>
        <w:t>ServingCellConfigCommon -&gt; DownlinkConfigCommon -&gt;FrequencyInfoDL -&gt; absoluteFrequencySSB</w:t>
      </w:r>
      <w:r>
        <w:rPr>
          <w:rFonts w:hint="eastAsia" w:eastAsia="宋体"/>
          <w:szCs w:val="20"/>
          <w:lang w:val="en-US" w:eastAsia="zh-CN"/>
        </w:rPr>
        <w:t xml:space="preserve"> is only applicable to PSCell/SCell, not any IE in </w:t>
      </w:r>
      <w:r>
        <w:rPr>
          <w:i/>
          <w:iCs w:val="0"/>
          <w:highlight w:val="none"/>
        </w:rPr>
        <w:t>ServingCellConfigCommonSIB</w:t>
      </w:r>
      <w:r>
        <w:rPr>
          <w:rFonts w:hint="eastAsia" w:eastAsia="宋体"/>
          <w:i/>
          <w:iCs w:val="0"/>
          <w:highlight w:val="none"/>
          <w:lang w:val="en-US" w:eastAsia="zh-CN"/>
        </w:rPr>
        <w:t>/</w:t>
      </w:r>
      <w:r>
        <w:rPr>
          <w:rFonts w:hint="eastAsia" w:eastAsia="宋体"/>
          <w:i/>
          <w:iCs w:val="0"/>
          <w:szCs w:val="20"/>
          <w:highlight w:val="none"/>
          <w:lang w:val="en-US" w:eastAsia="zh-CN"/>
        </w:rPr>
        <w:t>ServingCellConfigCommon/</w:t>
      </w:r>
      <w:r>
        <w:rPr>
          <w:i/>
          <w:iCs w:val="0"/>
          <w:highlight w:val="none"/>
        </w:rPr>
        <w:t>ServingCellConfigCommonSIB</w:t>
      </w:r>
      <w:r>
        <w:rPr>
          <w:rFonts w:hint="eastAsia" w:eastAsia="宋体"/>
          <w:i/>
          <w:iCs w:val="0"/>
          <w:highlight w:val="none"/>
          <w:lang w:val="en-US" w:eastAsia="zh-CN"/>
        </w:rPr>
        <w:t xml:space="preserve"> </w:t>
      </w:r>
      <w:r>
        <w:rPr>
          <w:rFonts w:hint="eastAsia" w:eastAsia="宋体"/>
          <w:szCs w:val="20"/>
          <w:lang w:val="en-US" w:eastAsia="zh-CN"/>
        </w:rPr>
        <w:t xml:space="preserve">is used to configure the frequency of PCell as actually UE determines the SSB frequency of PCell by blind search of sync raster. </w:t>
      </w:r>
    </w:p>
    <w:p>
      <w:pPr>
        <w:pStyle w:val="11"/>
        <w:tabs>
          <w:tab w:val="left" w:pos="226"/>
          <w:tab w:val="left" w:pos="284"/>
          <w:tab w:val="left" w:pos="5103"/>
        </w:tabs>
        <w:snapToGrid w:val="0"/>
        <w:spacing w:before="156" w:beforeLines="50"/>
        <w:rPr>
          <w:rFonts w:hint="eastAsia" w:eastAsia="宋体"/>
          <w:b/>
          <w:bCs/>
          <w:szCs w:val="20"/>
          <w:highlight w:val="none"/>
          <w:lang w:val="en-US" w:eastAsia="zh-CN"/>
        </w:rPr>
      </w:pPr>
      <w:r>
        <w:rPr>
          <w:rFonts w:hint="eastAsia" w:eastAsia="宋体"/>
          <w:b/>
          <w:bCs/>
          <w:szCs w:val="20"/>
          <w:highlight w:val="none"/>
          <w:lang w:val="en-US" w:eastAsia="zh-CN"/>
        </w:rPr>
        <w:t xml:space="preserve">Proposal 3: From RAN4 perspective, we should pay more attention on how to guarantee no conflict between the SSB-less SCell definition and the demand of SSB based neighbour cell measurement. </w:t>
      </w:r>
      <w:r>
        <w:rPr>
          <w:rFonts w:hint="eastAsia" w:eastAsia="宋体"/>
          <w:b/>
          <w:bCs/>
          <w:szCs w:val="20"/>
          <w:highlight w:val="none"/>
          <w:lang w:val="en-US" w:eastAsia="zh-CN"/>
        </w:rPr>
        <w:br w:type="page"/>
      </w:r>
    </w:p>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szCs w:val="20"/>
          <w:lang w:val="en-US" w:eastAsia="zh-CN"/>
        </w:rPr>
        <w:t xml:space="preserve">One straightforward solution to address the conflict between the SSB-less SCell definition and the demand of SSB based neighbour cell measurement is not to declare this MO as </w:t>
      </w:r>
      <w:r>
        <w:rPr>
          <w:rFonts w:hint="eastAsia" w:eastAsia="宋体"/>
          <w:i/>
          <w:iCs/>
          <w:szCs w:val="20"/>
          <w:lang w:val="en-US" w:eastAsia="zh-CN"/>
        </w:rPr>
        <w:t xml:space="preserve">ServingCellMo </w:t>
      </w:r>
      <w:r>
        <w:rPr>
          <w:rFonts w:hint="eastAsia" w:eastAsia="宋体"/>
          <w:szCs w:val="20"/>
          <w:lang w:val="en-US" w:eastAsia="zh-CN"/>
        </w:rPr>
        <w:t xml:space="preserve">in </w:t>
      </w:r>
      <w:r>
        <w:rPr>
          <w:rFonts w:hint="eastAsia" w:eastAsia="宋体"/>
          <w:i/>
          <w:iCs/>
          <w:szCs w:val="20"/>
          <w:lang w:val="en-US" w:eastAsia="zh-CN"/>
        </w:rPr>
        <w:t xml:space="preserve">ServingCellConfig </w:t>
      </w:r>
      <w:r>
        <w:rPr>
          <w:rFonts w:hint="eastAsia" w:eastAsia="宋体"/>
          <w:szCs w:val="20"/>
          <w:lang w:val="en-US" w:eastAsia="zh-CN"/>
        </w:rPr>
        <w:t xml:space="preserve">as RAN2 concluded. While if follow this, it is hard to category the SSB based neighbour cell measurement as intra-frequency or inter-frequency since lack of criteria, no </w:t>
      </w:r>
      <w:r>
        <w:rPr>
          <w:rFonts w:hint="default" w:eastAsia="宋体"/>
          <w:szCs w:val="20"/>
          <w:lang w:val="en-US" w:eastAsia="zh-CN"/>
        </w:rPr>
        <w:t>“</w:t>
      </w:r>
      <w:r>
        <w:rPr>
          <w:rFonts w:hint="eastAsia" w:eastAsia="宋体"/>
          <w:szCs w:val="20"/>
          <w:lang w:val="en-US" w:eastAsia="zh-CN"/>
        </w:rPr>
        <w:t>the centre frequency of the SSB of the serving cell</w:t>
      </w:r>
      <w:r>
        <w:rPr>
          <w:rFonts w:hint="default" w:eastAsia="宋体"/>
          <w:szCs w:val="20"/>
          <w:lang w:val="en-US" w:eastAsia="zh-CN"/>
        </w:rPr>
        <w:t>”</w:t>
      </w:r>
      <w:r>
        <w:rPr>
          <w:rFonts w:hint="eastAsia" w:eastAsia="宋体"/>
          <w:szCs w:val="20"/>
          <w:lang w:val="en-US" w:eastAsia="zh-CN"/>
        </w:rPr>
        <w:t xml:space="preserve"> existence. It seems necessary to inform RAN2 about this consequence.</w:t>
      </w:r>
    </w:p>
    <w:p>
      <w:pPr>
        <w:pStyle w:val="11"/>
        <w:numPr>
          <w:ilvl w:val="0"/>
          <w:numId w:val="0"/>
        </w:numPr>
        <w:tabs>
          <w:tab w:val="left" w:pos="226"/>
          <w:tab w:val="left" w:pos="284"/>
          <w:tab w:val="left" w:pos="5103"/>
        </w:tabs>
        <w:snapToGrid w:val="0"/>
        <w:spacing w:before="156" w:beforeLines="50"/>
        <w:ind w:leftChars="0"/>
        <w:rPr>
          <w:rFonts w:hint="eastAsia" w:eastAsia="宋体"/>
          <w:lang w:val="en-US" w:eastAsia="zh-CN"/>
        </w:rPr>
      </w:pPr>
      <w:r>
        <w:rPr>
          <w:rFonts w:hint="eastAsia" w:eastAsia="宋体"/>
          <w:szCs w:val="20"/>
          <w:lang w:val="en-US" w:eastAsia="zh-CN"/>
        </w:rPr>
        <w:t xml:space="preserve">Another solution to address the conflict between the SSB-less SCell definition and the demand of SSB based neighbour cell measurement is to allow the declaration of </w:t>
      </w:r>
      <w:r>
        <w:rPr>
          <w:rFonts w:hint="eastAsia" w:eastAsia="宋体"/>
          <w:i/>
          <w:iCs/>
          <w:szCs w:val="20"/>
          <w:lang w:val="en-US" w:eastAsia="zh-CN"/>
        </w:rPr>
        <w:t xml:space="preserve">ServingCellMo </w:t>
      </w:r>
      <w:r>
        <w:rPr>
          <w:rFonts w:hint="eastAsia" w:eastAsia="宋体"/>
          <w:szCs w:val="20"/>
          <w:lang w:val="en-US" w:eastAsia="zh-CN"/>
        </w:rPr>
        <w:t xml:space="preserve">but explicit configuration of SSB-less SCell is needed, then UE could recognize SSB-less SCell via specific signalling instead of the above rule in current 38.133. At the same time, the definition of intra-f or inter-f neighbour cell measurement is clear since the legacy criteria of comparing “the centre frequency of the SSB of the serving cell”with the </w:t>
      </w:r>
      <w:r>
        <w:t>centre frequency of the SSB of the neighbour cell</w:t>
      </w:r>
      <w:r>
        <w:rPr>
          <w:rFonts w:hint="eastAsia" w:eastAsia="宋体"/>
          <w:lang w:val="en-US" w:eastAsia="zh-CN"/>
        </w:rPr>
        <w:t xml:space="preserve"> still work.</w:t>
      </w:r>
    </w:p>
    <w:p>
      <w:pPr>
        <w:pStyle w:val="11"/>
        <w:tabs>
          <w:tab w:val="left" w:pos="226"/>
          <w:tab w:val="left" w:pos="284"/>
          <w:tab w:val="left" w:pos="5103"/>
        </w:tabs>
        <w:snapToGrid w:val="0"/>
        <w:spacing w:before="156" w:beforeLines="50"/>
        <w:rPr>
          <w:rFonts w:hint="eastAsia" w:eastAsia="宋体"/>
          <w:b/>
          <w:bCs/>
          <w:szCs w:val="20"/>
          <w:highlight w:val="none"/>
          <w:lang w:val="en-US" w:eastAsia="zh-CN"/>
        </w:rPr>
      </w:pPr>
      <w:r>
        <w:rPr>
          <w:rFonts w:hint="eastAsia" w:eastAsia="宋体"/>
          <w:b/>
          <w:bCs/>
          <w:szCs w:val="20"/>
          <w:highlight w:val="none"/>
          <w:lang w:val="en-US" w:eastAsia="zh-CN"/>
        </w:rPr>
        <w:t>Proposal 4: To meet the definition of SSB-less SCell, if SMTC is configured in the MO of SSB-less SCell, two solutions could be considered:</w:t>
      </w:r>
    </w:p>
    <w:p>
      <w:pPr>
        <w:pStyle w:val="11"/>
        <w:numPr>
          <w:ilvl w:val="0"/>
          <w:numId w:val="8"/>
        </w:numPr>
        <w:tabs>
          <w:tab w:val="left" w:pos="226"/>
          <w:tab w:val="left" w:pos="284"/>
          <w:tab w:val="left" w:pos="5103"/>
        </w:tabs>
        <w:snapToGrid w:val="0"/>
        <w:spacing w:before="156" w:beforeLines="50"/>
        <w:ind w:left="420" w:leftChars="0" w:hanging="420" w:firstLineChars="0"/>
        <w:rPr>
          <w:rFonts w:hint="eastAsia" w:eastAsia="宋体"/>
          <w:b/>
          <w:bCs/>
          <w:i w:val="0"/>
          <w:iCs w:val="0"/>
          <w:szCs w:val="20"/>
          <w:highlight w:val="none"/>
          <w:lang w:val="en-US" w:eastAsia="zh-CN"/>
        </w:rPr>
      </w:pPr>
      <w:r>
        <w:rPr>
          <w:rFonts w:hint="eastAsia" w:eastAsia="宋体"/>
          <w:b/>
          <w:bCs/>
          <w:szCs w:val="20"/>
          <w:highlight w:val="none"/>
          <w:lang w:val="en-US" w:eastAsia="zh-CN"/>
        </w:rPr>
        <w:t xml:space="preserve">Solution 1: The MO should not be declared as </w:t>
      </w:r>
      <w:r>
        <w:rPr>
          <w:rFonts w:hint="eastAsia" w:eastAsia="宋体"/>
          <w:b/>
          <w:bCs/>
          <w:i/>
          <w:iCs/>
          <w:szCs w:val="20"/>
          <w:highlight w:val="none"/>
          <w:lang w:val="en-US" w:eastAsia="zh-CN"/>
        </w:rPr>
        <w:t xml:space="preserve">ServingCellMo </w:t>
      </w:r>
      <w:r>
        <w:rPr>
          <w:rFonts w:hint="eastAsia" w:eastAsia="宋体"/>
          <w:b/>
          <w:bCs/>
          <w:szCs w:val="20"/>
          <w:highlight w:val="none"/>
          <w:lang w:val="en-US" w:eastAsia="zh-CN"/>
        </w:rPr>
        <w:t xml:space="preserve">in </w:t>
      </w:r>
      <w:r>
        <w:rPr>
          <w:rFonts w:hint="eastAsia" w:eastAsia="宋体"/>
          <w:b/>
          <w:bCs/>
          <w:i/>
          <w:iCs/>
          <w:szCs w:val="20"/>
          <w:highlight w:val="none"/>
          <w:lang w:val="en-US" w:eastAsia="zh-CN"/>
        </w:rPr>
        <w:t>ServingCellConfig</w:t>
      </w:r>
      <w:r>
        <w:rPr>
          <w:rFonts w:hint="eastAsia" w:eastAsia="宋体"/>
          <w:b/>
          <w:bCs/>
          <w:i w:val="0"/>
          <w:iCs w:val="0"/>
          <w:szCs w:val="20"/>
          <w:highlight w:val="none"/>
          <w:lang w:val="en-US" w:eastAsia="zh-CN"/>
        </w:rPr>
        <w:t xml:space="preserve">. Then the SSB of this MO is only transmitted from the neighbour cell. </w:t>
      </w:r>
    </w:p>
    <w:p>
      <w:pPr>
        <w:pStyle w:val="11"/>
        <w:numPr>
          <w:ilvl w:val="0"/>
          <w:numId w:val="0"/>
        </w:numPr>
        <w:tabs>
          <w:tab w:val="left" w:pos="226"/>
          <w:tab w:val="left" w:pos="284"/>
          <w:tab w:val="left" w:pos="5103"/>
        </w:tabs>
        <w:snapToGrid w:val="0"/>
        <w:spacing w:before="156" w:beforeLines="50"/>
        <w:ind w:leftChars="200"/>
        <w:rPr>
          <w:rFonts w:hint="eastAsia" w:eastAsia="宋体"/>
          <w:b/>
          <w:bCs/>
          <w:i w:val="0"/>
          <w:iCs w:val="0"/>
          <w:szCs w:val="20"/>
          <w:highlight w:val="none"/>
          <w:lang w:val="en-US" w:eastAsia="zh-CN"/>
        </w:rPr>
      </w:pPr>
      <w:r>
        <w:rPr>
          <w:rFonts w:hint="eastAsia" w:eastAsia="宋体"/>
          <w:b/>
          <w:bCs/>
          <w:i w:val="0"/>
          <w:iCs w:val="0"/>
          <w:szCs w:val="20"/>
          <w:highlight w:val="none"/>
          <w:lang w:val="en-US" w:eastAsia="zh-CN"/>
        </w:rPr>
        <w:t xml:space="preserve">-  For the case of no SSB measurement demand at any neighbour cell of the same frequency, the MO of the </w:t>
      </w:r>
      <w:r>
        <w:rPr>
          <w:rFonts w:hint="eastAsia" w:eastAsia="宋体"/>
          <w:b/>
          <w:bCs/>
          <w:szCs w:val="20"/>
          <w:highlight w:val="none"/>
          <w:lang w:val="en-US" w:eastAsia="zh-CN"/>
        </w:rPr>
        <w:t xml:space="preserve">SSB-less SCell can be declared as </w:t>
      </w:r>
      <w:r>
        <w:rPr>
          <w:rFonts w:hint="eastAsia" w:eastAsia="宋体"/>
          <w:b/>
          <w:bCs/>
          <w:i/>
          <w:iCs/>
          <w:szCs w:val="20"/>
          <w:highlight w:val="none"/>
          <w:lang w:val="en-US" w:eastAsia="zh-CN"/>
        </w:rPr>
        <w:t xml:space="preserve">ServingCellMo </w:t>
      </w:r>
      <w:r>
        <w:rPr>
          <w:rFonts w:hint="eastAsia" w:eastAsia="宋体"/>
          <w:b/>
          <w:bCs/>
          <w:szCs w:val="20"/>
          <w:highlight w:val="none"/>
          <w:lang w:val="en-US" w:eastAsia="zh-CN"/>
        </w:rPr>
        <w:t xml:space="preserve">in </w:t>
      </w:r>
      <w:r>
        <w:rPr>
          <w:rFonts w:hint="eastAsia" w:eastAsia="宋体"/>
          <w:b/>
          <w:bCs/>
          <w:i/>
          <w:iCs/>
          <w:szCs w:val="20"/>
          <w:highlight w:val="none"/>
          <w:lang w:val="en-US" w:eastAsia="zh-CN"/>
        </w:rPr>
        <w:t>ServingCellConfig</w:t>
      </w:r>
      <w:r>
        <w:rPr>
          <w:rFonts w:hint="eastAsia" w:eastAsia="宋体"/>
          <w:b/>
          <w:bCs/>
          <w:i w:val="0"/>
          <w:iCs w:val="0"/>
          <w:szCs w:val="20"/>
          <w:highlight w:val="none"/>
          <w:lang w:val="en-US" w:eastAsia="zh-CN"/>
        </w:rPr>
        <w:t>.</w:t>
      </w:r>
    </w:p>
    <w:p>
      <w:pPr>
        <w:pStyle w:val="11"/>
        <w:numPr>
          <w:ilvl w:val="0"/>
          <w:numId w:val="9"/>
        </w:numPr>
        <w:tabs>
          <w:tab w:val="left" w:pos="226"/>
          <w:tab w:val="left" w:pos="284"/>
          <w:tab w:val="left" w:pos="5103"/>
        </w:tabs>
        <w:snapToGrid w:val="0"/>
        <w:spacing w:before="156" w:beforeLines="50"/>
        <w:ind w:left="420" w:leftChars="0" w:hanging="420" w:firstLineChars="0"/>
        <w:rPr>
          <w:rFonts w:hint="default" w:eastAsia="宋体"/>
          <w:b/>
          <w:bCs/>
          <w:i w:val="0"/>
          <w:iCs w:val="0"/>
          <w:szCs w:val="20"/>
          <w:highlight w:val="none"/>
          <w:lang w:val="en-US" w:eastAsia="zh-CN"/>
        </w:rPr>
      </w:pPr>
      <w:r>
        <w:rPr>
          <w:rFonts w:hint="eastAsia" w:eastAsia="宋体"/>
          <w:b/>
          <w:bCs/>
          <w:szCs w:val="20"/>
          <w:highlight w:val="none"/>
          <w:lang w:val="en-US" w:eastAsia="zh-CN"/>
        </w:rPr>
        <w:t xml:space="preserve">Solution 2: No restriction on configuration of </w:t>
      </w:r>
      <w:r>
        <w:rPr>
          <w:rFonts w:hint="eastAsia" w:eastAsia="宋体"/>
          <w:b/>
          <w:bCs/>
          <w:i/>
          <w:iCs/>
          <w:szCs w:val="20"/>
          <w:highlight w:val="none"/>
          <w:lang w:val="en-US" w:eastAsia="zh-CN"/>
        </w:rPr>
        <w:t>ServingCellMo</w:t>
      </w:r>
      <w:r>
        <w:rPr>
          <w:rFonts w:hint="eastAsia" w:eastAsia="宋体"/>
          <w:b/>
          <w:bCs/>
          <w:i w:val="0"/>
          <w:iCs w:val="0"/>
          <w:szCs w:val="20"/>
          <w:highlight w:val="none"/>
          <w:lang w:val="en-US" w:eastAsia="zh-CN"/>
        </w:rPr>
        <w:t>. But introduce explicit signaling to configure SSB-less SCell.</w:t>
      </w:r>
    </w:p>
    <w:p>
      <w:pPr>
        <w:pStyle w:val="11"/>
        <w:numPr>
          <w:ilvl w:val="0"/>
          <w:numId w:val="0"/>
        </w:numPr>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Considering RAN2 is still suspending to wait for RAN4 progress, it is better for RAN4 to conclude in this meeting, or at least to send LS to RAN2 to inform them what does RAN4 concern and the subsequent issues to address. RAN4 could internally discuss sub-issue 2 and sub-issue 3.</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b/>
          <w:bCs/>
          <w:szCs w:val="20"/>
          <w:highlight w:val="none"/>
          <w:lang w:val="en-US" w:eastAsia="zh-CN"/>
        </w:rPr>
        <w:t>Proposal 5: Try to conclude in this meeting, at least to send LS to RAN2 to inform them what does RAN4 concern and the subsequent issues to address if no progress achieved in RAN4.</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default" w:eastAsia="宋体"/>
          <w:szCs w:val="20"/>
          <w:lang w:val="en-US" w:eastAsia="zh-CN"/>
        </w:rPr>
        <w:t>Sub-issue 2: Definition on intra-frequency or inter-frequency</w:t>
      </w:r>
    </w:p>
    <w:p>
      <w:pPr>
        <w:pStyle w:val="11"/>
        <w:numPr>
          <w:ilvl w:val="0"/>
          <w:numId w:val="0"/>
        </w:numPr>
        <w:tabs>
          <w:tab w:val="left" w:pos="226"/>
          <w:tab w:val="left" w:pos="284"/>
          <w:tab w:val="left" w:pos="5103"/>
        </w:tabs>
        <w:snapToGrid w:val="0"/>
        <w:spacing w:before="156" w:beforeLines="50"/>
        <w:ind w:leftChars="0"/>
        <w:rPr>
          <w:rFonts w:hint="default" w:eastAsia="宋体"/>
          <w:szCs w:val="20"/>
          <w:lang w:val="en-US" w:eastAsia="zh-CN"/>
        </w:rPr>
      </w:pPr>
      <w:r>
        <w:rPr>
          <w:rFonts w:hint="eastAsia" w:eastAsia="宋体"/>
          <w:szCs w:val="20"/>
          <w:lang w:val="en-US" w:eastAsia="zh-CN"/>
        </w:rPr>
        <w:t xml:space="preserve">Whether define the SSB based neighbour cell measurement at the SSB-less frequency as intra-frequency or inter-frequency, the main difference lies in the cell identification/measurement period. We compared the period requirements between intra-frequency and inter-frequency, for the measurement without gap, the sample numbers for intra-f/inter-f are consistent, so no difference on the period requirements. For the measurement with gap, inter-f cell identification and measurement require 3 more samples compared with the intra-f case. Therefore to reduce the measurement delay, it is better to define such neighbour cell measurement as intra-frequency type. it seems it could be defined as intra-frequency measurement since actually there is serving cell at this frequency. </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b/>
          <w:bCs/>
          <w:szCs w:val="20"/>
          <w:highlight w:val="none"/>
          <w:lang w:val="en-US" w:eastAsia="zh-CN"/>
        </w:rPr>
        <w:t>Proposal 6: To reduce the measurement delay, it is better to define such neighbour cell measurement as intra-frequency type since actually there is serving cell at the frequency.</w:t>
      </w:r>
    </w:p>
    <w:p>
      <w:pPr>
        <w:pStyle w:val="11"/>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default" w:eastAsia="宋体"/>
          <w:szCs w:val="20"/>
          <w:lang w:val="en-US" w:eastAsia="zh-CN"/>
        </w:rPr>
        <w:t>Sub-issue 3: Whether MG is needed</w:t>
      </w:r>
    </w:p>
    <w:p>
      <w:pPr>
        <w:pStyle w:val="11"/>
        <w:tabs>
          <w:tab w:val="left" w:pos="226"/>
          <w:tab w:val="left" w:pos="284"/>
          <w:tab w:val="left" w:pos="5103"/>
        </w:tabs>
        <w:snapToGrid w:val="0"/>
        <w:spacing w:before="156" w:beforeLines="50"/>
        <w:rPr>
          <w:rFonts w:hint="default" w:eastAsia="宋体"/>
          <w:i w:val="0"/>
          <w:iCs w:val="0"/>
          <w:szCs w:val="20"/>
          <w:lang w:val="en-US" w:eastAsia="zh-CN"/>
        </w:rPr>
      </w:pPr>
      <w:r>
        <w:rPr>
          <w:rFonts w:hint="eastAsia" w:eastAsia="宋体"/>
          <w:i w:val="0"/>
          <w:iCs w:val="0"/>
          <w:szCs w:val="20"/>
          <w:lang w:val="en-US" w:eastAsia="zh-CN"/>
        </w:rPr>
        <w:t xml:space="preserve">Whether the neighbour cell measurement is performed with gap or without gap, to be simplify, follow the legacy rule specified Clause 9.2.1[2] for intra-frequency.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b/>
          <w:bCs/>
          <w:szCs w:val="20"/>
          <w:highlight w:val="none"/>
          <w:lang w:val="en-US" w:eastAsia="zh-CN"/>
        </w:rPr>
        <w:t>Proposal 7: Whether the neighbour cell measurement is performed with gap or without gap, follow the legacy rule specified Clause 9.2.1 for intra-frequency.</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GB" w:eastAsia="zh-CN"/>
        </w:rPr>
      </w:pPr>
      <w:r>
        <w:rPr>
          <w:rFonts w:hint="default" w:eastAsia="宋体"/>
          <w:szCs w:val="20"/>
          <w:lang w:val="en-GB" w:eastAsia="zh-CN"/>
        </w:rPr>
        <w:t xml:space="preserve">In this </w:t>
      </w:r>
      <w:r>
        <w:rPr>
          <w:rFonts w:hint="eastAsia" w:eastAsia="宋体"/>
          <w:szCs w:val="20"/>
          <w:lang w:val="en-US" w:eastAsia="zh-CN"/>
        </w:rPr>
        <w:t>contribution</w:t>
      </w:r>
      <w:r>
        <w:rPr>
          <w:rFonts w:hint="default" w:eastAsia="宋体"/>
          <w:szCs w:val="20"/>
          <w:lang w:val="en-GB" w:eastAsia="zh-CN"/>
        </w:rPr>
        <w:t>, we have the following proposals</w:t>
      </w:r>
      <w:r>
        <w:rPr>
          <w:rFonts w:hint="eastAsia" w:eastAsia="宋体"/>
          <w:szCs w:val="20"/>
          <w:lang w:val="en-US" w:eastAsia="zh-CN"/>
        </w:rPr>
        <w:t xml:space="preserve"> </w:t>
      </w:r>
      <w:r>
        <w:rPr>
          <w:rFonts w:hint="default" w:eastAsia="宋体"/>
          <w:szCs w:val="20"/>
          <w:lang w:val="en-GB" w:eastAsia="zh-CN"/>
        </w:rPr>
        <w:t xml:space="preserve">for </w:t>
      </w:r>
      <w:r>
        <w:rPr>
          <w:rFonts w:hint="eastAsia" w:eastAsia="宋体"/>
          <w:szCs w:val="20"/>
          <w:lang w:val="en-US" w:eastAsia="zh-CN"/>
        </w:rPr>
        <w:t>the Network power saving</w:t>
      </w:r>
      <w:r>
        <w:rPr>
          <w:rFonts w:hint="default" w:eastAsia="宋体"/>
          <w:szCs w:val="20"/>
          <w:lang w:val="en-GB" w:eastAsia="zh-CN"/>
        </w:rPr>
        <w:t>:</w:t>
      </w:r>
    </w:p>
    <w:p>
      <w:pPr>
        <w:rPr>
          <w:rFonts w:hint="default" w:eastAsia="宋体" w:cs="Times New Roman"/>
          <w:szCs w:val="20"/>
          <w:lang w:val="en-US" w:eastAsia="zh-CN" w:bidi="ar-SA"/>
        </w:rPr>
      </w:pPr>
      <w:r>
        <w:rPr>
          <w:rFonts w:hint="eastAsia" w:eastAsia="宋体"/>
          <w:b/>
          <w:bCs/>
          <w:szCs w:val="20"/>
          <w:highlight w:val="none"/>
          <w:lang w:val="en-US" w:eastAsia="zh-CN"/>
        </w:rPr>
        <w:t xml:space="preserve">Proposal 1: Specify the threshold of Y as the value not smaller than 30dBm. </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b/>
          <w:bCs/>
          <w:szCs w:val="20"/>
          <w:highlight w:val="none"/>
          <w:lang w:val="en-US" w:eastAsia="zh-CN"/>
        </w:rPr>
        <w:t>Proposal 2: A-TRS based requirement is based on two TRS samples, not impacted by the threshold of X, Y.</w:t>
      </w:r>
    </w:p>
    <w:p>
      <w:pPr>
        <w:pStyle w:val="11"/>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b/>
          <w:bCs/>
          <w:szCs w:val="20"/>
          <w:highlight w:val="none"/>
          <w:lang w:val="en-US" w:eastAsia="zh-CN"/>
        </w:rPr>
        <w:t xml:space="preserve">Observation 1: There is conflict between the current SSB-less SCell definition and the demand of SSB based neighbour cell measurement. </w:t>
      </w:r>
    </w:p>
    <w:p>
      <w:pPr>
        <w:pStyle w:val="11"/>
        <w:tabs>
          <w:tab w:val="left" w:pos="226"/>
          <w:tab w:val="left" w:pos="284"/>
          <w:tab w:val="left" w:pos="5103"/>
        </w:tabs>
        <w:snapToGrid w:val="0"/>
        <w:spacing w:before="156" w:beforeLines="50"/>
        <w:rPr>
          <w:rFonts w:hint="eastAsia" w:eastAsia="宋体"/>
          <w:b/>
          <w:bCs/>
          <w:szCs w:val="20"/>
          <w:highlight w:val="none"/>
          <w:lang w:val="en-US" w:eastAsia="zh-CN"/>
        </w:rPr>
      </w:pPr>
      <w:r>
        <w:rPr>
          <w:rFonts w:hint="eastAsia" w:eastAsia="宋体"/>
          <w:b/>
          <w:bCs/>
          <w:szCs w:val="20"/>
          <w:highlight w:val="none"/>
          <w:lang w:val="en-US" w:eastAsia="zh-CN"/>
        </w:rPr>
        <w:t xml:space="preserve">Proposal 3: From RAN4 perspective, we should pay more attention on how to guarantee no conflict between the SSB-less SCell definition and the demand of SSB based neighbour cell measurement. </w:t>
      </w:r>
    </w:p>
    <w:p>
      <w:pPr>
        <w:pStyle w:val="11"/>
        <w:tabs>
          <w:tab w:val="left" w:pos="226"/>
          <w:tab w:val="left" w:pos="284"/>
          <w:tab w:val="left" w:pos="5103"/>
        </w:tabs>
        <w:snapToGrid w:val="0"/>
        <w:spacing w:before="156" w:beforeLines="50"/>
        <w:rPr>
          <w:rFonts w:hint="eastAsia" w:eastAsia="宋体"/>
          <w:b/>
          <w:bCs/>
          <w:szCs w:val="20"/>
          <w:highlight w:val="none"/>
          <w:lang w:val="en-US" w:eastAsia="zh-CN"/>
        </w:rPr>
      </w:pPr>
      <w:r>
        <w:rPr>
          <w:rFonts w:hint="eastAsia" w:eastAsia="宋体"/>
          <w:b/>
          <w:bCs/>
          <w:szCs w:val="20"/>
          <w:highlight w:val="none"/>
          <w:lang w:val="en-US" w:eastAsia="zh-CN"/>
        </w:rPr>
        <w:t>Proposal 4: To meet the definition of SSB-less SCell, if SMTC is configured in the MO of SSB-less SCell, two solutions could be considered:</w:t>
      </w:r>
    </w:p>
    <w:p>
      <w:pPr>
        <w:pStyle w:val="11"/>
        <w:numPr>
          <w:ilvl w:val="0"/>
          <w:numId w:val="8"/>
        </w:numPr>
        <w:tabs>
          <w:tab w:val="left" w:pos="226"/>
          <w:tab w:val="left" w:pos="284"/>
          <w:tab w:val="left" w:pos="5103"/>
        </w:tabs>
        <w:snapToGrid w:val="0"/>
        <w:spacing w:before="156" w:beforeLines="50"/>
        <w:ind w:left="420" w:leftChars="0" w:hanging="420" w:firstLineChars="0"/>
        <w:rPr>
          <w:rFonts w:hint="eastAsia" w:eastAsia="宋体"/>
          <w:b/>
          <w:bCs/>
          <w:i w:val="0"/>
          <w:iCs w:val="0"/>
          <w:szCs w:val="20"/>
          <w:highlight w:val="none"/>
          <w:lang w:val="en-US" w:eastAsia="zh-CN"/>
        </w:rPr>
      </w:pPr>
      <w:r>
        <w:rPr>
          <w:rFonts w:hint="eastAsia" w:eastAsia="宋体"/>
          <w:b/>
          <w:bCs/>
          <w:szCs w:val="20"/>
          <w:highlight w:val="none"/>
          <w:lang w:val="en-US" w:eastAsia="zh-CN"/>
        </w:rPr>
        <w:t xml:space="preserve">Solution 1: The MO should not be declared as </w:t>
      </w:r>
      <w:r>
        <w:rPr>
          <w:rFonts w:hint="eastAsia" w:eastAsia="宋体"/>
          <w:b/>
          <w:bCs/>
          <w:i/>
          <w:iCs/>
          <w:szCs w:val="20"/>
          <w:highlight w:val="none"/>
          <w:lang w:val="en-US" w:eastAsia="zh-CN"/>
        </w:rPr>
        <w:t xml:space="preserve">ServingCellMo </w:t>
      </w:r>
      <w:r>
        <w:rPr>
          <w:rFonts w:hint="eastAsia" w:eastAsia="宋体"/>
          <w:b/>
          <w:bCs/>
          <w:szCs w:val="20"/>
          <w:highlight w:val="none"/>
          <w:lang w:val="en-US" w:eastAsia="zh-CN"/>
        </w:rPr>
        <w:t xml:space="preserve">in </w:t>
      </w:r>
      <w:r>
        <w:rPr>
          <w:rFonts w:hint="eastAsia" w:eastAsia="宋体"/>
          <w:b/>
          <w:bCs/>
          <w:i/>
          <w:iCs/>
          <w:szCs w:val="20"/>
          <w:highlight w:val="none"/>
          <w:lang w:val="en-US" w:eastAsia="zh-CN"/>
        </w:rPr>
        <w:t>ServingCellConfig</w:t>
      </w:r>
      <w:r>
        <w:rPr>
          <w:rFonts w:hint="eastAsia" w:eastAsia="宋体"/>
          <w:b/>
          <w:bCs/>
          <w:i w:val="0"/>
          <w:iCs w:val="0"/>
          <w:szCs w:val="20"/>
          <w:highlight w:val="none"/>
          <w:lang w:val="en-US" w:eastAsia="zh-CN"/>
        </w:rPr>
        <w:t xml:space="preserve">. Then the SSB of this MO is only transmitted from the neighbour cell. </w:t>
      </w:r>
    </w:p>
    <w:p>
      <w:pPr>
        <w:pStyle w:val="11"/>
        <w:numPr>
          <w:ilvl w:val="0"/>
          <w:numId w:val="0"/>
        </w:numPr>
        <w:tabs>
          <w:tab w:val="left" w:pos="226"/>
          <w:tab w:val="left" w:pos="284"/>
          <w:tab w:val="left" w:pos="5103"/>
        </w:tabs>
        <w:snapToGrid w:val="0"/>
        <w:spacing w:before="156" w:beforeLines="50"/>
        <w:ind w:leftChars="200"/>
        <w:rPr>
          <w:rFonts w:hint="eastAsia" w:eastAsia="宋体"/>
          <w:b/>
          <w:bCs/>
          <w:i w:val="0"/>
          <w:iCs w:val="0"/>
          <w:szCs w:val="20"/>
          <w:highlight w:val="none"/>
          <w:lang w:val="en-US" w:eastAsia="zh-CN"/>
        </w:rPr>
      </w:pPr>
      <w:r>
        <w:rPr>
          <w:rFonts w:hint="eastAsia" w:eastAsia="宋体"/>
          <w:b/>
          <w:bCs/>
          <w:i w:val="0"/>
          <w:iCs w:val="0"/>
          <w:szCs w:val="20"/>
          <w:highlight w:val="none"/>
          <w:lang w:val="en-US" w:eastAsia="zh-CN"/>
        </w:rPr>
        <w:t xml:space="preserve">-  For the case of no SSB measurement demand at any neighbour cell of the same frequency, the MO of the </w:t>
      </w:r>
      <w:r>
        <w:rPr>
          <w:rFonts w:hint="eastAsia" w:eastAsia="宋体"/>
          <w:b/>
          <w:bCs/>
          <w:szCs w:val="20"/>
          <w:highlight w:val="none"/>
          <w:lang w:val="en-US" w:eastAsia="zh-CN"/>
        </w:rPr>
        <w:t xml:space="preserve">SSB-less SCell can be declared as </w:t>
      </w:r>
      <w:r>
        <w:rPr>
          <w:rFonts w:hint="eastAsia" w:eastAsia="宋体"/>
          <w:b/>
          <w:bCs/>
          <w:i/>
          <w:iCs/>
          <w:szCs w:val="20"/>
          <w:highlight w:val="none"/>
          <w:lang w:val="en-US" w:eastAsia="zh-CN"/>
        </w:rPr>
        <w:t xml:space="preserve">ServingCellMo </w:t>
      </w:r>
      <w:r>
        <w:rPr>
          <w:rFonts w:hint="eastAsia" w:eastAsia="宋体"/>
          <w:b/>
          <w:bCs/>
          <w:szCs w:val="20"/>
          <w:highlight w:val="none"/>
          <w:lang w:val="en-US" w:eastAsia="zh-CN"/>
        </w:rPr>
        <w:t xml:space="preserve">in </w:t>
      </w:r>
      <w:r>
        <w:rPr>
          <w:rFonts w:hint="eastAsia" w:eastAsia="宋体"/>
          <w:b/>
          <w:bCs/>
          <w:i/>
          <w:iCs/>
          <w:szCs w:val="20"/>
          <w:highlight w:val="none"/>
          <w:lang w:val="en-US" w:eastAsia="zh-CN"/>
        </w:rPr>
        <w:t>ServingCellConfig</w:t>
      </w:r>
      <w:r>
        <w:rPr>
          <w:rFonts w:hint="eastAsia" w:eastAsia="宋体"/>
          <w:b/>
          <w:bCs/>
          <w:i w:val="0"/>
          <w:iCs w:val="0"/>
          <w:szCs w:val="20"/>
          <w:highlight w:val="none"/>
          <w:lang w:val="en-US" w:eastAsia="zh-CN"/>
        </w:rPr>
        <w:t>.</w:t>
      </w:r>
    </w:p>
    <w:p>
      <w:pPr>
        <w:pStyle w:val="11"/>
        <w:numPr>
          <w:ilvl w:val="0"/>
          <w:numId w:val="9"/>
        </w:numPr>
        <w:tabs>
          <w:tab w:val="left" w:pos="226"/>
          <w:tab w:val="left" w:pos="284"/>
          <w:tab w:val="left" w:pos="5103"/>
        </w:tabs>
        <w:snapToGrid w:val="0"/>
        <w:spacing w:before="156" w:beforeLines="50"/>
        <w:ind w:left="420" w:leftChars="0" w:hanging="420" w:firstLineChars="0"/>
        <w:rPr>
          <w:rFonts w:hint="default" w:eastAsia="宋体"/>
          <w:b/>
          <w:bCs/>
          <w:i w:val="0"/>
          <w:iCs w:val="0"/>
          <w:szCs w:val="20"/>
          <w:highlight w:val="none"/>
          <w:lang w:val="en-US" w:eastAsia="zh-CN"/>
        </w:rPr>
      </w:pPr>
      <w:r>
        <w:rPr>
          <w:rFonts w:hint="eastAsia" w:eastAsia="宋体"/>
          <w:b/>
          <w:bCs/>
          <w:szCs w:val="20"/>
          <w:highlight w:val="none"/>
          <w:lang w:val="en-US" w:eastAsia="zh-CN"/>
        </w:rPr>
        <w:t xml:space="preserve">Solution 2: No restriction on configuration of </w:t>
      </w:r>
      <w:r>
        <w:rPr>
          <w:rFonts w:hint="eastAsia" w:eastAsia="宋体"/>
          <w:b/>
          <w:bCs/>
          <w:i/>
          <w:iCs/>
          <w:szCs w:val="20"/>
          <w:highlight w:val="none"/>
          <w:lang w:val="en-US" w:eastAsia="zh-CN"/>
        </w:rPr>
        <w:t>ServingCellMo</w:t>
      </w:r>
      <w:r>
        <w:rPr>
          <w:rFonts w:hint="eastAsia" w:eastAsia="宋体"/>
          <w:b/>
          <w:bCs/>
          <w:i w:val="0"/>
          <w:iCs w:val="0"/>
          <w:szCs w:val="20"/>
          <w:highlight w:val="none"/>
          <w:lang w:val="en-US" w:eastAsia="zh-CN"/>
        </w:rPr>
        <w:t>. But introduce explicit signaling to configure SSB-less SCell.</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b/>
          <w:bCs/>
          <w:szCs w:val="20"/>
          <w:highlight w:val="none"/>
          <w:lang w:val="en-US" w:eastAsia="zh-CN"/>
        </w:rPr>
        <w:t>Proposal 5: Try to conclude in this meeting, at least to send LS to RAN2 to inform them what does RAN4 concern and the subsequent issues to address if no progress achieved in RAN4.</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b/>
          <w:bCs/>
          <w:szCs w:val="20"/>
          <w:highlight w:val="none"/>
          <w:lang w:val="en-US" w:eastAsia="zh-CN"/>
        </w:rPr>
        <w:t>Proposal 6: To reduce the measurement delay, it is better to define such neighbour cell measurement as intra-frequency type since actually there is serving cell at the frequency.</w:t>
      </w:r>
    </w:p>
    <w:p>
      <w:pPr>
        <w:pStyle w:val="11"/>
        <w:tabs>
          <w:tab w:val="left" w:pos="226"/>
          <w:tab w:val="left" w:pos="284"/>
          <w:tab w:val="left" w:pos="5103"/>
        </w:tabs>
        <w:snapToGrid w:val="0"/>
        <w:spacing w:before="156" w:beforeLines="50"/>
      </w:pPr>
      <w:r>
        <w:rPr>
          <w:rFonts w:hint="eastAsia" w:eastAsia="宋体"/>
          <w:b/>
          <w:bCs/>
          <w:szCs w:val="20"/>
          <w:highlight w:val="none"/>
          <w:lang w:val="en-US" w:eastAsia="zh-CN"/>
        </w:rPr>
        <w:t>Proposal 7: Whether the neighbour cell measurement is performed with gap or without gap, follow the legacy rule specified Clause 9.2.1 for intra-frequency.</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6"/>
        <w:numPr>
          <w:ilvl w:val="0"/>
          <w:numId w:val="10"/>
        </w:numPr>
        <w:ind w:left="0"/>
        <w:rPr>
          <w:lang w:val="en-US"/>
        </w:rPr>
      </w:pPr>
      <w:r>
        <w:rPr>
          <w:rFonts w:hint="eastAsia"/>
          <w:lang w:val="en-US" w:eastAsia="zh-CN"/>
        </w:rPr>
        <w:t xml:space="preserve">R4-2420121, </w:t>
      </w:r>
      <w:r>
        <w:rPr>
          <w:rFonts w:hint="default"/>
          <w:lang w:val="en-US" w:eastAsia="zh-CN"/>
        </w:rPr>
        <w:t>“WF on RRM requirements for NR network energy saving”</w:t>
      </w:r>
      <w:r>
        <w:rPr>
          <w:rFonts w:hint="eastAsia"/>
          <w:lang w:val="en-US" w:eastAsia="zh-CN"/>
        </w:rPr>
        <w:t>, Huawei</w:t>
      </w:r>
    </w:p>
    <w:p>
      <w:pPr>
        <w:pStyle w:val="6"/>
        <w:numPr>
          <w:ilvl w:val="0"/>
          <w:numId w:val="10"/>
        </w:numPr>
        <w:ind w:left="0"/>
        <w:rPr>
          <w:lang w:val="en-US"/>
        </w:rPr>
      </w:pPr>
      <w:r>
        <w:rPr>
          <w:rFonts w:hint="eastAsia"/>
          <w:lang w:val="en-US" w:eastAsia="zh-CN"/>
        </w:rPr>
        <w:t>TS 38.133 v18.8.0</w:t>
      </w:r>
    </w:p>
    <w:p>
      <w:pPr>
        <w:pStyle w:val="6"/>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D0CA652"/>
    <w:multiLevelType w:val="multilevel"/>
    <w:tmpl w:val="BD0CA652"/>
    <w:lvl w:ilvl="0" w:tentative="0">
      <w:start w:val="1"/>
      <w:numFmt w:val="decimal"/>
      <w:pStyle w:val="68"/>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BB31F58"/>
    <w:multiLevelType w:val="singleLevel"/>
    <w:tmpl w:val="0BB31F58"/>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CF8EB95"/>
    <w:multiLevelType w:val="singleLevel"/>
    <w:tmpl w:val="2CF8EB95"/>
    <w:lvl w:ilvl="0" w:tentative="0">
      <w:start w:val="1"/>
      <w:numFmt w:val="bullet"/>
      <w:lvlText w:val=""/>
      <w:lvlJc w:val="left"/>
      <w:pPr>
        <w:ind w:left="420" w:hanging="420"/>
      </w:pPr>
      <w:rPr>
        <w:rFonts w:hint="default" w:ascii="Wingdings" w:hAnsi="Wingdings"/>
      </w:rPr>
    </w:lvl>
  </w:abstractNum>
  <w:abstractNum w:abstractNumId="5">
    <w:nsid w:val="362E533C"/>
    <w:multiLevelType w:val="multilevel"/>
    <w:tmpl w:val="362E533C"/>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6">
    <w:nsid w:val="4D6E3167"/>
    <w:multiLevelType w:val="multilevel"/>
    <w:tmpl w:val="4D6E3167"/>
    <w:lvl w:ilvl="0" w:tentative="0">
      <w:start w:val="1"/>
      <w:numFmt w:val="decimal"/>
      <w:pStyle w:val="4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D177F5E"/>
    <w:multiLevelType w:val="multilevel"/>
    <w:tmpl w:val="5D177F5E"/>
    <w:lvl w:ilvl="0" w:tentative="0">
      <w:start w:val="1"/>
      <w:numFmt w:val="decimal"/>
      <w:pStyle w:val="6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1"/>
  </w:num>
  <w:num w:numId="4">
    <w:abstractNumId w:val="8"/>
  </w:num>
  <w:num w:numId="5">
    <w:abstractNumId w:val="3"/>
  </w:num>
  <w:num w:numId="6">
    <w:abstractNumId w:val="5"/>
  </w:num>
  <w:num w:numId="7">
    <w:abstractNumId w:val="7"/>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40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B27"/>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4E"/>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0FB3"/>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86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53C9"/>
    <w:rsid w:val="00A87B21"/>
    <w:rsid w:val="00A92AAF"/>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79"/>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AD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065B"/>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C5C"/>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50E"/>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80F"/>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4810E2"/>
    <w:rsid w:val="028B6A1D"/>
    <w:rsid w:val="028F1C3E"/>
    <w:rsid w:val="03194670"/>
    <w:rsid w:val="0350291B"/>
    <w:rsid w:val="037D0CB3"/>
    <w:rsid w:val="037E115D"/>
    <w:rsid w:val="03D4720A"/>
    <w:rsid w:val="03DB6C44"/>
    <w:rsid w:val="041B2BF5"/>
    <w:rsid w:val="04620396"/>
    <w:rsid w:val="04654053"/>
    <w:rsid w:val="04664537"/>
    <w:rsid w:val="04793516"/>
    <w:rsid w:val="047A3CFF"/>
    <w:rsid w:val="050445C9"/>
    <w:rsid w:val="05317828"/>
    <w:rsid w:val="05477E90"/>
    <w:rsid w:val="05BB5AB9"/>
    <w:rsid w:val="05C42923"/>
    <w:rsid w:val="0654683F"/>
    <w:rsid w:val="06595E1C"/>
    <w:rsid w:val="066D17FF"/>
    <w:rsid w:val="06963BA6"/>
    <w:rsid w:val="06DE38DC"/>
    <w:rsid w:val="07C8213D"/>
    <w:rsid w:val="07CD3CDD"/>
    <w:rsid w:val="082E3C03"/>
    <w:rsid w:val="0855671D"/>
    <w:rsid w:val="089009EB"/>
    <w:rsid w:val="096E699E"/>
    <w:rsid w:val="09716BCA"/>
    <w:rsid w:val="09D64B23"/>
    <w:rsid w:val="09E644B8"/>
    <w:rsid w:val="0A624B8D"/>
    <w:rsid w:val="0A6E7A03"/>
    <w:rsid w:val="0AA30F70"/>
    <w:rsid w:val="0B12013A"/>
    <w:rsid w:val="0B3C38BD"/>
    <w:rsid w:val="0B3D3C2F"/>
    <w:rsid w:val="0BB0429A"/>
    <w:rsid w:val="0BFF5FC6"/>
    <w:rsid w:val="0C394019"/>
    <w:rsid w:val="0D2A60F1"/>
    <w:rsid w:val="0E101265"/>
    <w:rsid w:val="0E352832"/>
    <w:rsid w:val="0E6A489D"/>
    <w:rsid w:val="0F317852"/>
    <w:rsid w:val="0FDB2428"/>
    <w:rsid w:val="0FDE07F8"/>
    <w:rsid w:val="10997F43"/>
    <w:rsid w:val="10B412F6"/>
    <w:rsid w:val="10DE7BAE"/>
    <w:rsid w:val="112E04B1"/>
    <w:rsid w:val="118C78B6"/>
    <w:rsid w:val="11D90C6C"/>
    <w:rsid w:val="11EE781B"/>
    <w:rsid w:val="120774A3"/>
    <w:rsid w:val="12201600"/>
    <w:rsid w:val="124721A4"/>
    <w:rsid w:val="12503E08"/>
    <w:rsid w:val="128749DF"/>
    <w:rsid w:val="12A6623E"/>
    <w:rsid w:val="12DF4CD8"/>
    <w:rsid w:val="13283295"/>
    <w:rsid w:val="13811C50"/>
    <w:rsid w:val="13971F9B"/>
    <w:rsid w:val="14005BC9"/>
    <w:rsid w:val="14006D19"/>
    <w:rsid w:val="141E2261"/>
    <w:rsid w:val="14337DBF"/>
    <w:rsid w:val="1481754F"/>
    <w:rsid w:val="148F5721"/>
    <w:rsid w:val="14AC57CD"/>
    <w:rsid w:val="14E462A4"/>
    <w:rsid w:val="152D0D26"/>
    <w:rsid w:val="15ED3E9B"/>
    <w:rsid w:val="164514BE"/>
    <w:rsid w:val="16605572"/>
    <w:rsid w:val="166A7EA2"/>
    <w:rsid w:val="168B074B"/>
    <w:rsid w:val="169254EE"/>
    <w:rsid w:val="16A82401"/>
    <w:rsid w:val="16E54220"/>
    <w:rsid w:val="170F06AA"/>
    <w:rsid w:val="17182C2F"/>
    <w:rsid w:val="17225508"/>
    <w:rsid w:val="180A6E32"/>
    <w:rsid w:val="183F2CD2"/>
    <w:rsid w:val="1856323E"/>
    <w:rsid w:val="18AE24BE"/>
    <w:rsid w:val="18AF55E3"/>
    <w:rsid w:val="18B1519A"/>
    <w:rsid w:val="18CD0507"/>
    <w:rsid w:val="18F44CFE"/>
    <w:rsid w:val="19355688"/>
    <w:rsid w:val="195D7D48"/>
    <w:rsid w:val="19E431C5"/>
    <w:rsid w:val="1A885AE6"/>
    <w:rsid w:val="1A9366B0"/>
    <w:rsid w:val="1ABD5FCB"/>
    <w:rsid w:val="1AD01A1B"/>
    <w:rsid w:val="1B1557CF"/>
    <w:rsid w:val="1B336258"/>
    <w:rsid w:val="1B61065A"/>
    <w:rsid w:val="1BB1405F"/>
    <w:rsid w:val="1BBF3927"/>
    <w:rsid w:val="1BCB6881"/>
    <w:rsid w:val="1C1142CA"/>
    <w:rsid w:val="1C177B08"/>
    <w:rsid w:val="1C9001C6"/>
    <w:rsid w:val="1CBA2101"/>
    <w:rsid w:val="1D0573D7"/>
    <w:rsid w:val="1D070CB6"/>
    <w:rsid w:val="1D153DC4"/>
    <w:rsid w:val="1D223E0B"/>
    <w:rsid w:val="1D9C0FDE"/>
    <w:rsid w:val="1DE44483"/>
    <w:rsid w:val="1DF03D7C"/>
    <w:rsid w:val="1E132F88"/>
    <w:rsid w:val="1E2867E9"/>
    <w:rsid w:val="1E853F6F"/>
    <w:rsid w:val="1E9C7BCC"/>
    <w:rsid w:val="1ECC1E3C"/>
    <w:rsid w:val="1EE3677D"/>
    <w:rsid w:val="1F002471"/>
    <w:rsid w:val="1F1C5EEC"/>
    <w:rsid w:val="1F396C30"/>
    <w:rsid w:val="1F8B6954"/>
    <w:rsid w:val="200825A0"/>
    <w:rsid w:val="20100E94"/>
    <w:rsid w:val="204E740F"/>
    <w:rsid w:val="20850FF5"/>
    <w:rsid w:val="20933D8F"/>
    <w:rsid w:val="20B31314"/>
    <w:rsid w:val="20B654AE"/>
    <w:rsid w:val="21014C39"/>
    <w:rsid w:val="2121345D"/>
    <w:rsid w:val="21244EB1"/>
    <w:rsid w:val="2128287D"/>
    <w:rsid w:val="213964D8"/>
    <w:rsid w:val="21595D04"/>
    <w:rsid w:val="21D1687F"/>
    <w:rsid w:val="21F13629"/>
    <w:rsid w:val="22196BB4"/>
    <w:rsid w:val="2305377E"/>
    <w:rsid w:val="2333702C"/>
    <w:rsid w:val="234D6FD6"/>
    <w:rsid w:val="23522F16"/>
    <w:rsid w:val="2389576F"/>
    <w:rsid w:val="240153F9"/>
    <w:rsid w:val="24122135"/>
    <w:rsid w:val="2449719C"/>
    <w:rsid w:val="245B25BF"/>
    <w:rsid w:val="24B5474D"/>
    <w:rsid w:val="24D4257E"/>
    <w:rsid w:val="252169A5"/>
    <w:rsid w:val="25403F3C"/>
    <w:rsid w:val="25490B44"/>
    <w:rsid w:val="2572202B"/>
    <w:rsid w:val="258D4E7D"/>
    <w:rsid w:val="25AB1CB6"/>
    <w:rsid w:val="25E841E6"/>
    <w:rsid w:val="2605683C"/>
    <w:rsid w:val="267E3A44"/>
    <w:rsid w:val="268D4D52"/>
    <w:rsid w:val="269452A9"/>
    <w:rsid w:val="26BB1419"/>
    <w:rsid w:val="26CD272A"/>
    <w:rsid w:val="27113863"/>
    <w:rsid w:val="276457A5"/>
    <w:rsid w:val="27B748AA"/>
    <w:rsid w:val="27C05389"/>
    <w:rsid w:val="27CB4CB9"/>
    <w:rsid w:val="281C2F58"/>
    <w:rsid w:val="28455DD9"/>
    <w:rsid w:val="288408D1"/>
    <w:rsid w:val="29642C4B"/>
    <w:rsid w:val="296569C3"/>
    <w:rsid w:val="299365DC"/>
    <w:rsid w:val="2A2655A3"/>
    <w:rsid w:val="2A2C6E38"/>
    <w:rsid w:val="2A34628C"/>
    <w:rsid w:val="2A724D05"/>
    <w:rsid w:val="2A7E505C"/>
    <w:rsid w:val="2AC85686"/>
    <w:rsid w:val="2AD04B5F"/>
    <w:rsid w:val="2AF821D7"/>
    <w:rsid w:val="2AFF50D8"/>
    <w:rsid w:val="2B2B3C4D"/>
    <w:rsid w:val="2B311294"/>
    <w:rsid w:val="2B457EC9"/>
    <w:rsid w:val="2B4B5EE6"/>
    <w:rsid w:val="2B502806"/>
    <w:rsid w:val="2B7948F6"/>
    <w:rsid w:val="2BC05B2C"/>
    <w:rsid w:val="2BD200F8"/>
    <w:rsid w:val="2BD617C5"/>
    <w:rsid w:val="2BDB15FD"/>
    <w:rsid w:val="2C112837"/>
    <w:rsid w:val="2C69716D"/>
    <w:rsid w:val="2CAE0227"/>
    <w:rsid w:val="2CB80480"/>
    <w:rsid w:val="2E014790"/>
    <w:rsid w:val="2E082A14"/>
    <w:rsid w:val="2E3E07A9"/>
    <w:rsid w:val="2E401305"/>
    <w:rsid w:val="2E731B6B"/>
    <w:rsid w:val="2E932654"/>
    <w:rsid w:val="2E960366"/>
    <w:rsid w:val="2ECF4508"/>
    <w:rsid w:val="2EE77680"/>
    <w:rsid w:val="2F2F0FC8"/>
    <w:rsid w:val="2F384495"/>
    <w:rsid w:val="2F755F6A"/>
    <w:rsid w:val="2F942988"/>
    <w:rsid w:val="301C6BB6"/>
    <w:rsid w:val="30243A32"/>
    <w:rsid w:val="3049104D"/>
    <w:rsid w:val="30571E20"/>
    <w:rsid w:val="30856C05"/>
    <w:rsid w:val="30D27EA6"/>
    <w:rsid w:val="319708F2"/>
    <w:rsid w:val="31B14C9E"/>
    <w:rsid w:val="327B177A"/>
    <w:rsid w:val="32C33924"/>
    <w:rsid w:val="32E32D84"/>
    <w:rsid w:val="33C522D7"/>
    <w:rsid w:val="3429164D"/>
    <w:rsid w:val="344C4B30"/>
    <w:rsid w:val="34807672"/>
    <w:rsid w:val="34921EC4"/>
    <w:rsid w:val="34A71EFE"/>
    <w:rsid w:val="34A82967"/>
    <w:rsid w:val="34E80126"/>
    <w:rsid w:val="35AD79FC"/>
    <w:rsid w:val="35B06C6A"/>
    <w:rsid w:val="362A0EA8"/>
    <w:rsid w:val="368F3962"/>
    <w:rsid w:val="36941AA2"/>
    <w:rsid w:val="36D17C2F"/>
    <w:rsid w:val="36D37423"/>
    <w:rsid w:val="36D6243D"/>
    <w:rsid w:val="379D23F9"/>
    <w:rsid w:val="37AB4FA6"/>
    <w:rsid w:val="38610B78"/>
    <w:rsid w:val="389D4970"/>
    <w:rsid w:val="394C72B7"/>
    <w:rsid w:val="3A185287"/>
    <w:rsid w:val="3A1F46B8"/>
    <w:rsid w:val="3A692CD0"/>
    <w:rsid w:val="3A8B0918"/>
    <w:rsid w:val="3A92352C"/>
    <w:rsid w:val="3B270929"/>
    <w:rsid w:val="3B3D5571"/>
    <w:rsid w:val="3B577C68"/>
    <w:rsid w:val="3B673620"/>
    <w:rsid w:val="3B9A1F29"/>
    <w:rsid w:val="3CA30F83"/>
    <w:rsid w:val="3CAB5723"/>
    <w:rsid w:val="3CE4646B"/>
    <w:rsid w:val="3D1737C4"/>
    <w:rsid w:val="3D300544"/>
    <w:rsid w:val="3D4315FC"/>
    <w:rsid w:val="3D5E7AA8"/>
    <w:rsid w:val="3D6F2596"/>
    <w:rsid w:val="3DBB5A99"/>
    <w:rsid w:val="3F836EE6"/>
    <w:rsid w:val="3F8B2AF0"/>
    <w:rsid w:val="405F175E"/>
    <w:rsid w:val="408F67FC"/>
    <w:rsid w:val="40BD1A2F"/>
    <w:rsid w:val="40C765F3"/>
    <w:rsid w:val="40D24336"/>
    <w:rsid w:val="416432B5"/>
    <w:rsid w:val="41903325"/>
    <w:rsid w:val="41A2534B"/>
    <w:rsid w:val="41C3545E"/>
    <w:rsid w:val="42500573"/>
    <w:rsid w:val="42F869D2"/>
    <w:rsid w:val="43061D16"/>
    <w:rsid w:val="43285B25"/>
    <w:rsid w:val="43553536"/>
    <w:rsid w:val="43914E6B"/>
    <w:rsid w:val="443A3304"/>
    <w:rsid w:val="443D14D0"/>
    <w:rsid w:val="448E2588"/>
    <w:rsid w:val="44911928"/>
    <w:rsid w:val="44961776"/>
    <w:rsid w:val="44972678"/>
    <w:rsid w:val="44BF6E7D"/>
    <w:rsid w:val="44E85A06"/>
    <w:rsid w:val="451632B9"/>
    <w:rsid w:val="45485273"/>
    <w:rsid w:val="4566717F"/>
    <w:rsid w:val="457B4C4B"/>
    <w:rsid w:val="458F0087"/>
    <w:rsid w:val="45906394"/>
    <w:rsid w:val="45E4124E"/>
    <w:rsid w:val="45F60A50"/>
    <w:rsid w:val="46142D0C"/>
    <w:rsid w:val="46773D09"/>
    <w:rsid w:val="46923526"/>
    <w:rsid w:val="46970A81"/>
    <w:rsid w:val="4697115A"/>
    <w:rsid w:val="46B036BF"/>
    <w:rsid w:val="471E7E6C"/>
    <w:rsid w:val="47282363"/>
    <w:rsid w:val="47701BD2"/>
    <w:rsid w:val="482E2EBF"/>
    <w:rsid w:val="48346B27"/>
    <w:rsid w:val="48377D9E"/>
    <w:rsid w:val="48FC12CE"/>
    <w:rsid w:val="493D3211"/>
    <w:rsid w:val="494010B3"/>
    <w:rsid w:val="49464E7D"/>
    <w:rsid w:val="4989341A"/>
    <w:rsid w:val="49BB6774"/>
    <w:rsid w:val="49DC4EAC"/>
    <w:rsid w:val="49E55BC5"/>
    <w:rsid w:val="4A170D67"/>
    <w:rsid w:val="4A2E4752"/>
    <w:rsid w:val="4A314393"/>
    <w:rsid w:val="4A502337"/>
    <w:rsid w:val="4B017C80"/>
    <w:rsid w:val="4B5C6CFE"/>
    <w:rsid w:val="4BD16360"/>
    <w:rsid w:val="4BEE6F15"/>
    <w:rsid w:val="4BF24EEB"/>
    <w:rsid w:val="4C1C63D6"/>
    <w:rsid w:val="4C864A35"/>
    <w:rsid w:val="4CD61886"/>
    <w:rsid w:val="4D167DF7"/>
    <w:rsid w:val="4D4846AB"/>
    <w:rsid w:val="4DE62613"/>
    <w:rsid w:val="4E015C76"/>
    <w:rsid w:val="4E0A74EB"/>
    <w:rsid w:val="4E310026"/>
    <w:rsid w:val="4E4A2325"/>
    <w:rsid w:val="4ED56361"/>
    <w:rsid w:val="4EDB4B65"/>
    <w:rsid w:val="4EEE4C05"/>
    <w:rsid w:val="4F5C5331"/>
    <w:rsid w:val="501A6C55"/>
    <w:rsid w:val="504338E1"/>
    <w:rsid w:val="505E1A7C"/>
    <w:rsid w:val="50DD750F"/>
    <w:rsid w:val="5172455E"/>
    <w:rsid w:val="51B14BED"/>
    <w:rsid w:val="51CB19F2"/>
    <w:rsid w:val="51F437A2"/>
    <w:rsid w:val="523522B3"/>
    <w:rsid w:val="52526454"/>
    <w:rsid w:val="525C1CEF"/>
    <w:rsid w:val="528B5767"/>
    <w:rsid w:val="52D33625"/>
    <w:rsid w:val="52E34B8A"/>
    <w:rsid w:val="537958C3"/>
    <w:rsid w:val="53A3105E"/>
    <w:rsid w:val="53C64B93"/>
    <w:rsid w:val="54051FE4"/>
    <w:rsid w:val="540678E0"/>
    <w:rsid w:val="54283FDA"/>
    <w:rsid w:val="54564E31"/>
    <w:rsid w:val="548A6C60"/>
    <w:rsid w:val="55B1164D"/>
    <w:rsid w:val="55B4735E"/>
    <w:rsid w:val="55BB221D"/>
    <w:rsid w:val="55F52EA4"/>
    <w:rsid w:val="56056560"/>
    <w:rsid w:val="560E0F60"/>
    <w:rsid w:val="56371459"/>
    <w:rsid w:val="56484633"/>
    <w:rsid w:val="56E22593"/>
    <w:rsid w:val="56EB0283"/>
    <w:rsid w:val="5708349C"/>
    <w:rsid w:val="573826DD"/>
    <w:rsid w:val="58555010"/>
    <w:rsid w:val="588147F2"/>
    <w:rsid w:val="58D0053D"/>
    <w:rsid w:val="590B596B"/>
    <w:rsid w:val="5953384B"/>
    <w:rsid w:val="598C40A0"/>
    <w:rsid w:val="59935EC3"/>
    <w:rsid w:val="59BE616D"/>
    <w:rsid w:val="59DA647E"/>
    <w:rsid w:val="5A556E1A"/>
    <w:rsid w:val="5A7649FC"/>
    <w:rsid w:val="5AD01678"/>
    <w:rsid w:val="5B583B1B"/>
    <w:rsid w:val="5B8F064C"/>
    <w:rsid w:val="5BB2626A"/>
    <w:rsid w:val="5BF6112C"/>
    <w:rsid w:val="5C4D5258"/>
    <w:rsid w:val="5C876D53"/>
    <w:rsid w:val="5CA427FE"/>
    <w:rsid w:val="5CDE432F"/>
    <w:rsid w:val="5D392BBD"/>
    <w:rsid w:val="5D671DA2"/>
    <w:rsid w:val="5DDC6599"/>
    <w:rsid w:val="5E2864D0"/>
    <w:rsid w:val="5E2A1A3D"/>
    <w:rsid w:val="5E38414F"/>
    <w:rsid w:val="5E494511"/>
    <w:rsid w:val="5E8D725A"/>
    <w:rsid w:val="5EB44FC0"/>
    <w:rsid w:val="5FA4358E"/>
    <w:rsid w:val="5FBA395F"/>
    <w:rsid w:val="60EC2CBA"/>
    <w:rsid w:val="61442C0D"/>
    <w:rsid w:val="615E6B53"/>
    <w:rsid w:val="617E527E"/>
    <w:rsid w:val="61CC2D28"/>
    <w:rsid w:val="61F14827"/>
    <w:rsid w:val="622409B3"/>
    <w:rsid w:val="62296DAB"/>
    <w:rsid w:val="62AB695F"/>
    <w:rsid w:val="62F766B1"/>
    <w:rsid w:val="6305029D"/>
    <w:rsid w:val="632E2686"/>
    <w:rsid w:val="63415308"/>
    <w:rsid w:val="635902CD"/>
    <w:rsid w:val="635E6E54"/>
    <w:rsid w:val="640111D3"/>
    <w:rsid w:val="6453068A"/>
    <w:rsid w:val="64706BBE"/>
    <w:rsid w:val="647235D4"/>
    <w:rsid w:val="64BE6D26"/>
    <w:rsid w:val="64F02CA7"/>
    <w:rsid w:val="64F2095B"/>
    <w:rsid w:val="659E5E96"/>
    <w:rsid w:val="65AE16A6"/>
    <w:rsid w:val="65B6141B"/>
    <w:rsid w:val="65C17F1F"/>
    <w:rsid w:val="65C814E8"/>
    <w:rsid w:val="66113FAB"/>
    <w:rsid w:val="673945B0"/>
    <w:rsid w:val="674279DC"/>
    <w:rsid w:val="676A4DBB"/>
    <w:rsid w:val="67A858DB"/>
    <w:rsid w:val="67FB6FEA"/>
    <w:rsid w:val="67FE4166"/>
    <w:rsid w:val="685F373C"/>
    <w:rsid w:val="68B86F93"/>
    <w:rsid w:val="68C401C3"/>
    <w:rsid w:val="68EF121D"/>
    <w:rsid w:val="6911679D"/>
    <w:rsid w:val="6942220A"/>
    <w:rsid w:val="69A833BD"/>
    <w:rsid w:val="69F4408A"/>
    <w:rsid w:val="69FC3483"/>
    <w:rsid w:val="6A1E25AA"/>
    <w:rsid w:val="6AA145C5"/>
    <w:rsid w:val="6AB215EC"/>
    <w:rsid w:val="6ABF10D3"/>
    <w:rsid w:val="6AC77930"/>
    <w:rsid w:val="6AD03222"/>
    <w:rsid w:val="6BA62550"/>
    <w:rsid w:val="6BCB2EC8"/>
    <w:rsid w:val="6C126A8E"/>
    <w:rsid w:val="6C5959EE"/>
    <w:rsid w:val="6C681E3D"/>
    <w:rsid w:val="6C7172AA"/>
    <w:rsid w:val="6CC34D51"/>
    <w:rsid w:val="6CC736CE"/>
    <w:rsid w:val="6CE16D19"/>
    <w:rsid w:val="6D566F0F"/>
    <w:rsid w:val="6D836F72"/>
    <w:rsid w:val="6D944C6F"/>
    <w:rsid w:val="6DA200E2"/>
    <w:rsid w:val="6DDE3DAF"/>
    <w:rsid w:val="6E17316D"/>
    <w:rsid w:val="6E3241BE"/>
    <w:rsid w:val="6E410A48"/>
    <w:rsid w:val="6EB97A9D"/>
    <w:rsid w:val="6EBE48B8"/>
    <w:rsid w:val="6EF10A90"/>
    <w:rsid w:val="6EF77781"/>
    <w:rsid w:val="6F7F3578"/>
    <w:rsid w:val="6FF86D3D"/>
    <w:rsid w:val="6FFF1868"/>
    <w:rsid w:val="6FFF5012"/>
    <w:rsid w:val="70BA3065"/>
    <w:rsid w:val="715F4C2D"/>
    <w:rsid w:val="722F78FB"/>
    <w:rsid w:val="723D67C5"/>
    <w:rsid w:val="72BB13CA"/>
    <w:rsid w:val="72BF60CA"/>
    <w:rsid w:val="72F407E5"/>
    <w:rsid w:val="72F41282"/>
    <w:rsid w:val="7315732A"/>
    <w:rsid w:val="733D0D32"/>
    <w:rsid w:val="734D6E7B"/>
    <w:rsid w:val="73D411F1"/>
    <w:rsid w:val="74707EF3"/>
    <w:rsid w:val="74E343E2"/>
    <w:rsid w:val="753643C5"/>
    <w:rsid w:val="753811DE"/>
    <w:rsid w:val="75A84280"/>
    <w:rsid w:val="75BE67D4"/>
    <w:rsid w:val="75BF5E46"/>
    <w:rsid w:val="75C2004C"/>
    <w:rsid w:val="75C759C1"/>
    <w:rsid w:val="762D64F3"/>
    <w:rsid w:val="763C7B5C"/>
    <w:rsid w:val="766B63D6"/>
    <w:rsid w:val="767E7EFF"/>
    <w:rsid w:val="76B74C4A"/>
    <w:rsid w:val="775B4604"/>
    <w:rsid w:val="77915630"/>
    <w:rsid w:val="77C067C3"/>
    <w:rsid w:val="783F569F"/>
    <w:rsid w:val="78911E31"/>
    <w:rsid w:val="78972821"/>
    <w:rsid w:val="78C135CF"/>
    <w:rsid w:val="78C4151D"/>
    <w:rsid w:val="7922350F"/>
    <w:rsid w:val="792B5470"/>
    <w:rsid w:val="793A44B1"/>
    <w:rsid w:val="79D36CF1"/>
    <w:rsid w:val="7A9367CB"/>
    <w:rsid w:val="7AC62F94"/>
    <w:rsid w:val="7AF22571"/>
    <w:rsid w:val="7B69224B"/>
    <w:rsid w:val="7B6A22B8"/>
    <w:rsid w:val="7BE80F25"/>
    <w:rsid w:val="7C1C35A7"/>
    <w:rsid w:val="7C2A2E20"/>
    <w:rsid w:val="7C45431D"/>
    <w:rsid w:val="7C734B44"/>
    <w:rsid w:val="7CA87C8D"/>
    <w:rsid w:val="7CCF289A"/>
    <w:rsid w:val="7D1431D0"/>
    <w:rsid w:val="7D3219D5"/>
    <w:rsid w:val="7D7569CA"/>
    <w:rsid w:val="7DC023D8"/>
    <w:rsid w:val="7DDD0501"/>
    <w:rsid w:val="7DE51372"/>
    <w:rsid w:val="7DFF100D"/>
    <w:rsid w:val="7E0D518D"/>
    <w:rsid w:val="7E5E590F"/>
    <w:rsid w:val="7E8E25ED"/>
    <w:rsid w:val="7E935AFB"/>
    <w:rsid w:val="7EB130F9"/>
    <w:rsid w:val="7EC231A5"/>
    <w:rsid w:val="7ECE38F6"/>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7"/>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8"/>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4"/>
    <w:unhideWhenUsed/>
    <w:qFormat/>
    <w:uiPriority w:val="9"/>
    <w:pPr>
      <w:keepNext/>
      <w:keepLines/>
      <w:spacing w:before="260" w:after="260" w:line="416" w:lineRule="auto"/>
      <w:outlineLvl w:val="2"/>
    </w:pPr>
    <w:rPr>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List 3"/>
    <w:basedOn w:val="6"/>
    <w:semiHidden/>
    <w:unhideWhenUsed/>
    <w:qFormat/>
    <w:uiPriority w:val="99"/>
    <w:pPr>
      <w:ind w:left="100" w:leftChars="400" w:hanging="200" w:hangingChars="200"/>
      <w:contextualSpacing/>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4"/>
    <w:semiHidden/>
    <w:unhideWhenUsed/>
    <w:qFormat/>
    <w:uiPriority w:val="99"/>
    <w:rPr>
      <w:rFonts w:ascii="宋体" w:eastAsia="宋体"/>
      <w:sz w:val="18"/>
      <w:szCs w:val="18"/>
    </w:rPr>
  </w:style>
  <w:style w:type="paragraph" w:styleId="10">
    <w:name w:val="annotation text"/>
    <w:basedOn w:val="1"/>
    <w:link w:val="66"/>
    <w:semiHidden/>
    <w:unhideWhenUsed/>
    <w:qFormat/>
    <w:uiPriority w:val="0"/>
  </w:style>
  <w:style w:type="paragraph" w:styleId="11">
    <w:name w:val="Body Text"/>
    <w:basedOn w:val="1"/>
    <w:link w:val="29"/>
    <w:qFormat/>
    <w:uiPriority w:val="0"/>
    <w:pPr>
      <w:spacing w:after="120"/>
      <w:jc w:val="both"/>
    </w:pPr>
    <w:rPr>
      <w:rFonts w:eastAsia="MS Mincho"/>
      <w:lang w:val="zh-CN"/>
    </w:rPr>
  </w:style>
  <w:style w:type="paragraph" w:styleId="12">
    <w:name w:val="Date"/>
    <w:basedOn w:val="1"/>
    <w:next w:val="1"/>
    <w:link w:val="51"/>
    <w:semiHidden/>
    <w:unhideWhenUsed/>
    <w:qFormat/>
    <w:uiPriority w:val="99"/>
    <w:pPr>
      <w:ind w:left="100" w:leftChars="2500"/>
    </w:pPr>
  </w:style>
  <w:style w:type="paragraph" w:styleId="13">
    <w:name w:val="Balloon Text"/>
    <w:basedOn w:val="1"/>
    <w:link w:val="26"/>
    <w:semiHidden/>
    <w:unhideWhenUsed/>
    <w:qFormat/>
    <w:uiPriority w:val="99"/>
    <w:rPr>
      <w:sz w:val="18"/>
      <w:szCs w:val="18"/>
      <w:lang w:val="zh-CN"/>
    </w:rPr>
  </w:style>
  <w:style w:type="paragraph" w:styleId="14">
    <w:name w:val="footer"/>
    <w:basedOn w:val="1"/>
    <w:link w:val="32"/>
    <w:unhideWhenUsed/>
    <w:qFormat/>
    <w:uiPriority w:val="99"/>
    <w:pPr>
      <w:tabs>
        <w:tab w:val="center" w:pos="4153"/>
        <w:tab w:val="right" w:pos="8306"/>
      </w:tabs>
      <w:snapToGrid w:val="0"/>
    </w:pPr>
    <w:rPr>
      <w:sz w:val="18"/>
      <w:szCs w:val="18"/>
      <w:lang w:val="zh-CN"/>
    </w:rPr>
  </w:style>
  <w:style w:type="paragraph" w:styleId="15">
    <w:name w:val="header"/>
    <w:basedOn w:val="1"/>
    <w:link w:val="30"/>
    <w:qFormat/>
    <w:uiPriority w:val="0"/>
    <w:pPr>
      <w:tabs>
        <w:tab w:val="center" w:pos="4536"/>
        <w:tab w:val="right" w:pos="9072"/>
      </w:tabs>
    </w:pPr>
    <w:rPr>
      <w:rFonts w:ascii="Arial" w:hAnsi="Arial" w:eastAsia="MS Mincho"/>
      <w:b/>
      <w:lang w:val="zh-CN"/>
    </w:rPr>
  </w:style>
  <w:style w:type="paragraph" w:styleId="16">
    <w:name w:val="List 4"/>
    <w:basedOn w:val="5"/>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10"/>
    <w:next w:val="10"/>
    <w:link w:val="67"/>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Emphasis"/>
    <w:basedOn w:val="21"/>
    <w:qFormat/>
    <w:uiPriority w:val="20"/>
    <w:rPr>
      <w:i/>
    </w:rPr>
  </w:style>
  <w:style w:type="character" w:styleId="24">
    <w:name w:val="Hyperlink"/>
    <w:qFormat/>
    <w:uiPriority w:val="99"/>
    <w:rPr>
      <w:color w:val="0000FF"/>
      <w:u w:val="single"/>
    </w:rPr>
  </w:style>
  <w:style w:type="character" w:styleId="25">
    <w:name w:val="annotation reference"/>
    <w:basedOn w:val="21"/>
    <w:semiHidden/>
    <w:unhideWhenUsed/>
    <w:qFormat/>
    <w:uiPriority w:val="99"/>
    <w:rPr>
      <w:sz w:val="21"/>
      <w:szCs w:val="21"/>
    </w:rPr>
  </w:style>
  <w:style w:type="character" w:customStyle="1" w:styleId="26">
    <w:name w:val="批注框文本 字符"/>
    <w:link w:val="13"/>
    <w:semiHidden/>
    <w:qFormat/>
    <w:uiPriority w:val="99"/>
    <w:rPr>
      <w:rFonts w:ascii="Times New Roman" w:hAnsi="Times New Roman" w:eastAsia="Times New Roman" w:cs="Times New Roman"/>
      <w:kern w:val="0"/>
      <w:sz w:val="18"/>
      <w:szCs w:val="18"/>
      <w:lang w:eastAsia="en-US"/>
    </w:rPr>
  </w:style>
  <w:style w:type="character" w:customStyle="1" w:styleId="27">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8">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9">
    <w:name w:val="正文文本 字符"/>
    <w:link w:val="11"/>
    <w:qFormat/>
    <w:uiPriority w:val="0"/>
    <w:rPr>
      <w:rFonts w:ascii="Times New Roman" w:hAnsi="Times New Roman" w:eastAsia="MS Mincho" w:cs="Times New Roman"/>
      <w:kern w:val="0"/>
      <w:sz w:val="20"/>
      <w:szCs w:val="24"/>
      <w:lang w:val="zh-CN" w:eastAsia="en-US"/>
    </w:rPr>
  </w:style>
  <w:style w:type="character" w:customStyle="1" w:styleId="30">
    <w:name w:val="页眉 字符"/>
    <w:link w:val="15"/>
    <w:qFormat/>
    <w:uiPriority w:val="0"/>
    <w:rPr>
      <w:rFonts w:ascii="Arial" w:hAnsi="Arial" w:eastAsia="MS Mincho" w:cs="Times New Roman"/>
      <w:b/>
      <w:kern w:val="0"/>
      <w:sz w:val="20"/>
      <w:szCs w:val="24"/>
      <w:lang w:val="zh-CN" w:eastAsia="en-US"/>
    </w:rPr>
  </w:style>
  <w:style w:type="paragraph" w:customStyle="1" w:styleId="31">
    <w:name w:val="Paragraphe de liste"/>
    <w:basedOn w:val="1"/>
    <w:qFormat/>
    <w:uiPriority w:val="34"/>
    <w:pPr>
      <w:ind w:left="720"/>
    </w:pPr>
    <w:rPr>
      <w:rFonts w:eastAsia="宋体"/>
      <w:sz w:val="24"/>
      <w:lang w:val="fr-FR" w:eastAsia="zh-CN"/>
    </w:rPr>
  </w:style>
  <w:style w:type="character" w:customStyle="1" w:styleId="32">
    <w:name w:val="页脚 字符"/>
    <w:link w:val="14"/>
    <w:qFormat/>
    <w:uiPriority w:val="99"/>
    <w:rPr>
      <w:rFonts w:ascii="Times New Roman" w:hAnsi="Times New Roman" w:eastAsia="Times New Roman" w:cs="Times New Roman"/>
      <w:kern w:val="0"/>
      <w:sz w:val="18"/>
      <w:szCs w:val="18"/>
      <w:lang w:eastAsia="en-US"/>
    </w:rPr>
  </w:style>
  <w:style w:type="paragraph" w:styleId="33">
    <w:name w:val="List Paragraph"/>
    <w:basedOn w:val="1"/>
    <w:link w:val="49"/>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4">
    <w:name w:val="文档结构图 字符"/>
    <w:link w:val="9"/>
    <w:semiHidden/>
    <w:qFormat/>
    <w:uiPriority w:val="99"/>
    <w:rPr>
      <w:rFonts w:ascii="宋体" w:hAnsi="Times New Roman"/>
      <w:sz w:val="18"/>
      <w:szCs w:val="18"/>
      <w:lang w:eastAsia="en-US"/>
    </w:rPr>
  </w:style>
  <w:style w:type="paragraph" w:customStyle="1" w:styleId="35">
    <w:name w:val="B1"/>
    <w:basedOn w:val="7"/>
    <w:link w:val="36"/>
    <w:qFormat/>
    <w:uiPriority w:val="0"/>
    <w:pPr>
      <w:spacing w:after="180"/>
      <w:ind w:left="568" w:hanging="284" w:firstLineChars="0"/>
      <w:contextualSpacing w:val="0"/>
    </w:pPr>
    <w:rPr>
      <w:rFonts w:eastAsia="宋体"/>
      <w:szCs w:val="20"/>
      <w:lang w:val="en-GB"/>
    </w:rPr>
  </w:style>
  <w:style w:type="character" w:customStyle="1" w:styleId="36">
    <w:name w:val="B1 (文字)"/>
    <w:link w:val="35"/>
    <w:qFormat/>
    <w:locked/>
    <w:uiPriority w:val="0"/>
    <w:rPr>
      <w:rFonts w:ascii="Times New Roman" w:hAnsi="Times New Roman"/>
      <w:lang w:val="en-GB" w:eastAsia="en-US"/>
    </w:rPr>
  </w:style>
  <w:style w:type="character" w:customStyle="1" w:styleId="37">
    <w:name w:val="B1 Char1"/>
    <w:qFormat/>
    <w:uiPriority w:val="0"/>
    <w:rPr>
      <w:lang w:val="en-GB" w:eastAsia="en-US"/>
    </w:rPr>
  </w:style>
  <w:style w:type="paragraph" w:customStyle="1" w:styleId="38">
    <w:name w:val="TAH"/>
    <w:basedOn w:val="39"/>
    <w:link w:val="44"/>
    <w:qFormat/>
    <w:uiPriority w:val="0"/>
    <w:rPr>
      <w:b/>
    </w:rPr>
  </w:style>
  <w:style w:type="paragraph" w:customStyle="1" w:styleId="39">
    <w:name w:val="TAC"/>
    <w:basedOn w:val="40"/>
    <w:link w:val="43"/>
    <w:qFormat/>
    <w:uiPriority w:val="0"/>
    <w:pPr>
      <w:jc w:val="center"/>
    </w:pPr>
    <w:rPr>
      <w:lang w:eastAsia="zh-CN"/>
    </w:rPr>
  </w:style>
  <w:style w:type="paragraph" w:customStyle="1" w:styleId="40">
    <w:name w:val="TAL"/>
    <w:basedOn w:val="1"/>
    <w:link w:val="53"/>
    <w:qFormat/>
    <w:uiPriority w:val="0"/>
    <w:pPr>
      <w:keepNext/>
      <w:keepLines/>
    </w:pPr>
    <w:rPr>
      <w:rFonts w:ascii="Arial" w:hAnsi="Arial" w:eastAsia="宋体"/>
      <w:sz w:val="18"/>
      <w:szCs w:val="20"/>
      <w:lang w:val="en-GB"/>
    </w:rPr>
  </w:style>
  <w:style w:type="paragraph" w:customStyle="1" w:styleId="41">
    <w:name w:val="TH"/>
    <w:basedOn w:val="1"/>
    <w:link w:val="42"/>
    <w:qFormat/>
    <w:uiPriority w:val="0"/>
    <w:pPr>
      <w:keepNext/>
      <w:keepLines/>
      <w:spacing w:before="60" w:after="180"/>
      <w:jc w:val="center"/>
    </w:pPr>
    <w:rPr>
      <w:rFonts w:ascii="Arial" w:hAnsi="Arial" w:eastAsia="宋体"/>
      <w:b/>
      <w:szCs w:val="20"/>
      <w:lang w:val="en-GB" w:eastAsia="zh-CN"/>
    </w:rPr>
  </w:style>
  <w:style w:type="character" w:customStyle="1" w:styleId="42">
    <w:name w:val="TH Char"/>
    <w:link w:val="41"/>
    <w:qFormat/>
    <w:uiPriority w:val="0"/>
    <w:rPr>
      <w:rFonts w:ascii="Arial" w:hAnsi="Arial" w:eastAsia="宋体"/>
      <w:b/>
      <w:lang w:val="en-GB" w:eastAsia="zh-CN"/>
    </w:rPr>
  </w:style>
  <w:style w:type="character" w:customStyle="1" w:styleId="43">
    <w:name w:val="TAC Char"/>
    <w:link w:val="39"/>
    <w:qFormat/>
    <w:uiPriority w:val="0"/>
    <w:rPr>
      <w:rFonts w:ascii="Arial" w:hAnsi="Arial" w:eastAsia="宋体"/>
      <w:sz w:val="18"/>
      <w:lang w:val="en-GB" w:eastAsia="zh-CN"/>
    </w:rPr>
  </w:style>
  <w:style w:type="character" w:customStyle="1" w:styleId="44">
    <w:name w:val="TAH Car"/>
    <w:link w:val="38"/>
    <w:qFormat/>
    <w:uiPriority w:val="0"/>
    <w:rPr>
      <w:rFonts w:ascii="Arial" w:hAnsi="Arial" w:eastAsia="宋体"/>
      <w:b/>
      <w:sz w:val="18"/>
      <w:lang w:val="en-GB" w:eastAsia="zh-CN"/>
    </w:rPr>
  </w:style>
  <w:style w:type="paragraph" w:customStyle="1" w:styleId="4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6">
    <w:name w:val="TAR"/>
    <w:basedOn w:val="1"/>
    <w:qFormat/>
    <w:uiPriority w:val="0"/>
    <w:pPr>
      <w:keepNext/>
      <w:keepLines/>
      <w:jc w:val="right"/>
    </w:pPr>
    <w:rPr>
      <w:rFonts w:ascii="Arial" w:hAnsi="Arial" w:eastAsia="宋体"/>
      <w:sz w:val="18"/>
      <w:szCs w:val="20"/>
      <w:lang w:val="en-GB"/>
    </w:rPr>
  </w:style>
  <w:style w:type="paragraph" w:customStyle="1" w:styleId="47">
    <w:name w:val="RAN4 proposal"/>
    <w:basedOn w:val="8"/>
    <w:next w:val="1"/>
    <w:link w:val="48"/>
    <w:qFormat/>
    <w:uiPriority w:val="0"/>
    <w:pPr>
      <w:numPr>
        <w:ilvl w:val="0"/>
        <w:numId w:val="2"/>
      </w:numPr>
      <w:spacing w:after="200"/>
      <w:ind w:left="0" w:firstLine="0"/>
    </w:pPr>
    <w:rPr>
      <w:rFonts w:ascii="Times New Roman" w:hAnsi="Times New Roman" w:eastAsia="宋体"/>
      <w:b/>
      <w:iCs/>
      <w:szCs w:val="18"/>
    </w:rPr>
  </w:style>
  <w:style w:type="character" w:customStyle="1" w:styleId="48">
    <w:name w:val="RAN4 proposal Char"/>
    <w:link w:val="47"/>
    <w:qFormat/>
    <w:uiPriority w:val="0"/>
    <w:rPr>
      <w:rFonts w:ascii="Times New Roman" w:hAnsi="Times New Roman"/>
      <w:b/>
      <w:iCs/>
      <w:szCs w:val="18"/>
      <w:lang w:eastAsia="en-US"/>
    </w:rPr>
  </w:style>
  <w:style w:type="character" w:customStyle="1" w:styleId="49">
    <w:name w:val="列表段落 字符"/>
    <w:link w:val="33"/>
    <w:qFormat/>
    <w:uiPriority w:val="34"/>
    <w:rPr>
      <w:kern w:val="2"/>
      <w:sz w:val="21"/>
      <w:szCs w:val="22"/>
    </w:rPr>
  </w:style>
  <w:style w:type="character" w:customStyle="1" w:styleId="50">
    <w:name w:val="ZGSM"/>
    <w:qFormat/>
    <w:uiPriority w:val="0"/>
  </w:style>
  <w:style w:type="character" w:customStyle="1" w:styleId="51">
    <w:name w:val="日期 字符"/>
    <w:link w:val="12"/>
    <w:semiHidden/>
    <w:qFormat/>
    <w:uiPriority w:val="99"/>
    <w:rPr>
      <w:rFonts w:ascii="Times New Roman" w:hAnsi="Times New Roman" w:eastAsia="Times New Roman"/>
      <w:szCs w:val="24"/>
      <w:lang w:eastAsia="en-US"/>
    </w:rPr>
  </w:style>
  <w:style w:type="paragraph" w:customStyle="1" w:styleId="52">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3">
    <w:name w:val="TAL Char"/>
    <w:link w:val="40"/>
    <w:qFormat/>
    <w:uiPriority w:val="0"/>
    <w:rPr>
      <w:rFonts w:ascii="Arial" w:hAnsi="Arial"/>
      <w:sz w:val="18"/>
      <w:lang w:val="en-GB" w:eastAsia="en-US"/>
    </w:rPr>
  </w:style>
  <w:style w:type="character" w:customStyle="1" w:styleId="54">
    <w:name w:val="标题 3 字符"/>
    <w:link w:val="4"/>
    <w:qFormat/>
    <w:uiPriority w:val="9"/>
    <w:rPr>
      <w:rFonts w:ascii="Times New Roman" w:hAnsi="Times New Roman" w:eastAsia="Times New Roman"/>
      <w:b/>
      <w:bCs/>
      <w:sz w:val="32"/>
      <w:szCs w:val="32"/>
      <w:lang w:eastAsia="en-US"/>
    </w:rPr>
  </w:style>
  <w:style w:type="character" w:customStyle="1" w:styleId="55">
    <w:name w:val="TAL Car"/>
    <w:qFormat/>
    <w:uiPriority w:val="0"/>
    <w:rPr>
      <w:rFonts w:ascii="Arial" w:hAnsi="Arial" w:eastAsia="Times New Roman" w:cs="Times New Roman"/>
      <w:kern w:val="0"/>
      <w:sz w:val="18"/>
      <w:szCs w:val="20"/>
      <w:lang w:val="en-GB" w:eastAsia="ko-KR"/>
    </w:rPr>
  </w:style>
  <w:style w:type="paragraph" w:customStyle="1" w:styleId="56">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7">
    <w:name w:val="TAN"/>
    <w:basedOn w:val="40"/>
    <w:qFormat/>
    <w:uiPriority w:val="0"/>
    <w:pPr>
      <w:ind w:left="851" w:hanging="851"/>
    </w:pPr>
  </w:style>
  <w:style w:type="character" w:customStyle="1" w:styleId="58">
    <w:name w:val="normaltextrun"/>
    <w:basedOn w:val="21"/>
    <w:qFormat/>
    <w:uiPriority w:val="0"/>
  </w:style>
  <w:style w:type="character" w:customStyle="1" w:styleId="59">
    <w:name w:val="eop"/>
    <w:basedOn w:val="21"/>
    <w:qFormat/>
    <w:uiPriority w:val="0"/>
  </w:style>
  <w:style w:type="paragraph" w:customStyle="1" w:styleId="60">
    <w:name w:val="paragraph"/>
    <w:basedOn w:val="1"/>
    <w:qFormat/>
    <w:uiPriority w:val="0"/>
    <w:pPr>
      <w:spacing w:before="100" w:beforeAutospacing="1" w:after="100" w:afterAutospacing="1"/>
    </w:pPr>
    <w:rPr>
      <w:sz w:val="24"/>
    </w:rPr>
  </w:style>
  <w:style w:type="paragraph" w:customStyle="1" w:styleId="61">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2">
    <w:name w:val="B2"/>
    <w:basedOn w:val="6"/>
    <w:qFormat/>
    <w:uiPriority w:val="0"/>
  </w:style>
  <w:style w:type="paragraph" w:customStyle="1" w:styleId="63">
    <w:name w:val="B3"/>
    <w:basedOn w:val="5"/>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4">
    <w:name w:val="References"/>
    <w:basedOn w:val="1"/>
    <w:qFormat/>
    <w:uiPriority w:val="0"/>
    <w:pPr>
      <w:snapToGrid w:val="0"/>
      <w:spacing w:after="60"/>
      <w:jc w:val="both"/>
    </w:pPr>
    <w:rPr>
      <w:szCs w:val="16"/>
    </w:rPr>
  </w:style>
  <w:style w:type="paragraph" w:customStyle="1" w:styleId="65">
    <w:name w:val="B4"/>
    <w:basedOn w:val="16"/>
    <w:qFormat/>
    <w:uiPriority w:val="0"/>
  </w:style>
  <w:style w:type="character" w:customStyle="1" w:styleId="66">
    <w:name w:val="批注文字 字符"/>
    <w:basedOn w:val="21"/>
    <w:link w:val="10"/>
    <w:semiHidden/>
    <w:qFormat/>
    <w:uiPriority w:val="0"/>
    <w:rPr>
      <w:rFonts w:eastAsia="Times New Roman"/>
      <w:szCs w:val="24"/>
      <w:lang w:eastAsia="en-US"/>
    </w:rPr>
  </w:style>
  <w:style w:type="character" w:customStyle="1" w:styleId="67">
    <w:name w:val="批注主题 字符"/>
    <w:basedOn w:val="66"/>
    <w:link w:val="18"/>
    <w:semiHidden/>
    <w:qFormat/>
    <w:uiPriority w:val="99"/>
    <w:rPr>
      <w:rFonts w:eastAsia="Times New Roman"/>
      <w:b/>
      <w:bCs/>
      <w:szCs w:val="24"/>
      <w:lang w:eastAsia="en-US"/>
    </w:rPr>
  </w:style>
  <w:style w:type="paragraph" w:customStyle="1" w:styleId="68">
    <w:name w:val="YJ-Proposal"/>
    <w:basedOn w:val="1"/>
    <w:qFormat/>
    <w:uiPriority w:val="0"/>
    <w:pPr>
      <w:numPr>
        <w:ilvl w:val="0"/>
        <w:numId w:val="3"/>
      </w:numPr>
      <w:tabs>
        <w:tab w:val="left" w:pos="0"/>
      </w:tabs>
    </w:pPr>
    <w:rPr>
      <w:rFonts w:eastAsiaTheme="minorEastAsia"/>
      <w:b/>
      <w:bCs/>
      <w:szCs w:val="21"/>
      <w:lang w:val="en-GB" w:eastAsia="en-US"/>
    </w:rPr>
  </w:style>
  <w:style w:type="paragraph" w:customStyle="1" w:styleId="69">
    <w:name w:val="Char"/>
    <w:basedOn w:val="33"/>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23824-850A-45B5-BCEF-EAF62F594B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3382</Words>
  <Characters>19281</Characters>
  <Lines>160</Lines>
  <Paragraphs>45</Paragraphs>
  <TotalTime>1</TotalTime>
  <ScaleCrop>false</ScaleCrop>
  <LinksUpToDate>false</LinksUpToDate>
  <CharactersWithSpaces>22618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2023-04-10T14:33:00Z</dcterms:created>
  <dc:creator>Aijun CAO</dc:creator>
  <cp:lastModifiedBy>ZTE</cp:lastModifiedBy>
  <cp:lastPrinted>2015-02-02T11:17:00Z</cp:lastPrinted>
  <dcterms:modified xsi:type="dcterms:W3CDTF">2025-02-07T08:45:54Z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08732BBF27724C5BA26F60B62337106C</vt:lpwstr>
  </property>
</Properties>
</file>